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2E71" w14:textId="77777777" w:rsidR="0076517B" w:rsidRPr="00DA1136" w:rsidRDefault="00922E2C" w:rsidP="00B71D01">
      <w:pPr>
        <w:spacing w:after="0"/>
        <w:jc w:val="center"/>
        <w:rPr>
          <w:b/>
          <w:bCs/>
          <w:sz w:val="24"/>
          <w:szCs w:val="24"/>
        </w:rPr>
      </w:pPr>
      <w:r w:rsidRPr="00DA1136">
        <w:rPr>
          <w:b/>
          <w:bCs/>
          <w:sz w:val="24"/>
          <w:szCs w:val="24"/>
        </w:rPr>
        <w:t xml:space="preserve">MATRIZ DE </w:t>
      </w:r>
      <w:r w:rsidR="0076517B" w:rsidRPr="00DA1136">
        <w:rPr>
          <w:b/>
          <w:bCs/>
          <w:sz w:val="24"/>
          <w:szCs w:val="24"/>
        </w:rPr>
        <w:t>OBSERVACIONES</w:t>
      </w:r>
    </w:p>
    <w:p w14:paraId="6A459943" w14:textId="77777777" w:rsidR="00922E2C" w:rsidRPr="00DA1136" w:rsidRDefault="00922E2C" w:rsidP="0076517B">
      <w:pPr>
        <w:spacing w:after="0"/>
        <w:jc w:val="center"/>
        <w:rPr>
          <w:b/>
          <w:bCs/>
          <w:sz w:val="24"/>
          <w:szCs w:val="24"/>
        </w:rPr>
      </w:pPr>
      <w:r w:rsidRPr="00DA1136">
        <w:rPr>
          <w:b/>
          <w:bCs/>
          <w:sz w:val="24"/>
          <w:szCs w:val="24"/>
        </w:rPr>
        <w:t>CONSULTA EXTERNA</w:t>
      </w:r>
    </w:p>
    <w:p w14:paraId="0B15950E" w14:textId="77777777" w:rsidR="00F17D35" w:rsidRPr="00DA1136" w:rsidRDefault="00F17D35" w:rsidP="0076517B">
      <w:pPr>
        <w:spacing w:after="0"/>
        <w:jc w:val="center"/>
        <w:rPr>
          <w:b/>
          <w:bCs/>
          <w:sz w:val="24"/>
          <w:szCs w:val="24"/>
        </w:rPr>
      </w:pPr>
    </w:p>
    <w:p w14:paraId="5603FB46" w14:textId="77777777" w:rsidR="00F70F87" w:rsidRPr="00DA1136" w:rsidRDefault="00F17D35" w:rsidP="00F70F87">
      <w:pPr>
        <w:spacing w:after="0"/>
        <w:jc w:val="center"/>
        <w:rPr>
          <w:b/>
          <w:bCs/>
          <w:sz w:val="20"/>
          <w:szCs w:val="20"/>
        </w:rPr>
      </w:pPr>
      <w:r w:rsidRPr="00DA1136">
        <w:rPr>
          <w:b/>
          <w:bCs/>
          <w:sz w:val="20"/>
          <w:szCs w:val="20"/>
        </w:rPr>
        <w:t>-</w:t>
      </w:r>
      <w:r w:rsidR="00F70F87" w:rsidRPr="00DA1136">
        <w:rPr>
          <w:b/>
          <w:bCs/>
          <w:sz w:val="20"/>
          <w:szCs w:val="20"/>
        </w:rPr>
        <w:t>CNS-1728/13 del 6 de mayo del 2022</w:t>
      </w:r>
      <w:r w:rsidRPr="00DA1136">
        <w:rPr>
          <w:b/>
          <w:bCs/>
          <w:sz w:val="20"/>
          <w:szCs w:val="20"/>
        </w:rPr>
        <w:t>-</w:t>
      </w:r>
    </w:p>
    <w:p w14:paraId="71CB8751" w14:textId="77777777" w:rsidR="0076517B" w:rsidRPr="00DA1136" w:rsidRDefault="0076517B" w:rsidP="00B71D01">
      <w:pPr>
        <w:spacing w:after="0"/>
        <w:rPr>
          <w:b/>
          <w:bCs/>
        </w:rPr>
      </w:pPr>
    </w:p>
    <w:p w14:paraId="281314EE" w14:textId="111B0782" w:rsidR="0076517B" w:rsidRPr="00DA1136" w:rsidRDefault="0076517B" w:rsidP="0076517B">
      <w:pPr>
        <w:spacing w:after="0"/>
        <w:jc w:val="center"/>
        <w:rPr>
          <w:b/>
          <w:bCs/>
          <w:sz w:val="24"/>
          <w:szCs w:val="24"/>
        </w:rPr>
      </w:pPr>
      <w:r w:rsidRPr="00DA1136">
        <w:rPr>
          <w:b/>
          <w:bCs/>
          <w:sz w:val="24"/>
          <w:szCs w:val="24"/>
        </w:rPr>
        <w:t>Modificación de</w:t>
      </w:r>
      <w:r w:rsidR="00345BE7">
        <w:rPr>
          <w:b/>
          <w:bCs/>
          <w:sz w:val="24"/>
          <w:szCs w:val="24"/>
        </w:rPr>
        <w:t>l</w:t>
      </w:r>
      <w:r w:rsidRPr="00DA1136">
        <w:rPr>
          <w:b/>
          <w:bCs/>
          <w:sz w:val="24"/>
          <w:szCs w:val="24"/>
        </w:rPr>
        <w:t xml:space="preserve"> artículo 15</w:t>
      </w:r>
      <w:r w:rsidR="00E23CC1">
        <w:rPr>
          <w:b/>
          <w:bCs/>
          <w:sz w:val="24"/>
          <w:szCs w:val="24"/>
        </w:rPr>
        <w:t xml:space="preserve"> </w:t>
      </w:r>
      <w:r w:rsidRPr="00DA1136">
        <w:rPr>
          <w:b/>
          <w:bCs/>
          <w:sz w:val="24"/>
          <w:szCs w:val="24"/>
        </w:rPr>
        <w:t xml:space="preserve">y la adición de </w:t>
      </w:r>
      <w:r w:rsidR="00345BE7">
        <w:rPr>
          <w:b/>
          <w:bCs/>
          <w:sz w:val="24"/>
          <w:szCs w:val="24"/>
        </w:rPr>
        <w:t>un</w:t>
      </w:r>
      <w:r w:rsidRPr="00DA1136">
        <w:rPr>
          <w:b/>
          <w:bCs/>
          <w:sz w:val="24"/>
          <w:szCs w:val="24"/>
        </w:rPr>
        <w:t xml:space="preserve"> transitorio V</w:t>
      </w:r>
      <w:r w:rsidR="006921CD">
        <w:rPr>
          <w:b/>
          <w:bCs/>
          <w:sz w:val="24"/>
          <w:szCs w:val="24"/>
        </w:rPr>
        <w:t>I</w:t>
      </w:r>
      <w:r w:rsidRPr="00DA1136">
        <w:rPr>
          <w:b/>
          <w:bCs/>
          <w:sz w:val="24"/>
          <w:szCs w:val="24"/>
        </w:rPr>
        <w:t xml:space="preserve"> al Reglamento de Gestión de Activos</w:t>
      </w:r>
    </w:p>
    <w:p w14:paraId="7F16B484" w14:textId="77777777" w:rsidR="0007737F" w:rsidRPr="00DA1136" w:rsidRDefault="0007737F" w:rsidP="0076517B">
      <w:pPr>
        <w:spacing w:after="0"/>
        <w:jc w:val="center"/>
        <w:rPr>
          <w:b/>
          <w:bCs/>
          <w:sz w:val="24"/>
          <w:szCs w:val="24"/>
        </w:rPr>
      </w:pPr>
    </w:p>
    <w:p w14:paraId="251825CA" w14:textId="77777777" w:rsidR="007234F1" w:rsidRPr="00DA1136" w:rsidRDefault="00581BB2" w:rsidP="00037DE0">
      <w:pPr>
        <w:pStyle w:val="Prrafodelista"/>
        <w:numPr>
          <w:ilvl w:val="0"/>
          <w:numId w:val="1"/>
        </w:numPr>
        <w:spacing w:after="0"/>
        <w:rPr>
          <w:b/>
          <w:bCs/>
        </w:rPr>
      </w:pPr>
      <w:r w:rsidRPr="00DA1136">
        <w:rPr>
          <w:b/>
          <w:bCs/>
        </w:rPr>
        <w:t>CCSS</w:t>
      </w:r>
      <w:r w:rsidR="00037DE0" w:rsidRPr="00DA1136">
        <w:rPr>
          <w:b/>
          <w:bCs/>
        </w:rPr>
        <w:t>, OPC</w:t>
      </w:r>
    </w:p>
    <w:p w14:paraId="2A6E7759" w14:textId="77777777" w:rsidR="00037DE0" w:rsidRPr="00DA1136" w:rsidRDefault="00B510F2" w:rsidP="007234F1">
      <w:pPr>
        <w:pStyle w:val="Prrafodelista"/>
        <w:spacing w:after="0"/>
      </w:pPr>
      <w:r w:rsidRPr="00DA1136">
        <w:t xml:space="preserve">Oficio </w:t>
      </w:r>
      <w:r w:rsidR="007234F1" w:rsidRPr="00DA1136">
        <w:t>GG-138-2022 de</w:t>
      </w:r>
      <w:r w:rsidR="001B7B99" w:rsidRPr="00DA1136">
        <w:t>l</w:t>
      </w:r>
      <w:r w:rsidR="007234F1" w:rsidRPr="00DA1136">
        <w:t xml:space="preserve"> </w:t>
      </w:r>
      <w:r w:rsidR="00037DE0" w:rsidRPr="00DA1136">
        <w:t>27 de mayo del 2022</w:t>
      </w:r>
    </w:p>
    <w:p w14:paraId="6AE55750" w14:textId="77777777" w:rsidR="000F1F89" w:rsidRPr="00DA1136" w:rsidRDefault="00795CD7" w:rsidP="000F1F89">
      <w:pPr>
        <w:pStyle w:val="Prrafodelista"/>
        <w:numPr>
          <w:ilvl w:val="0"/>
          <w:numId w:val="1"/>
        </w:numPr>
        <w:spacing w:after="0"/>
        <w:rPr>
          <w:b/>
          <w:bCs/>
        </w:rPr>
      </w:pPr>
      <w:r w:rsidRPr="00DA1136">
        <w:rPr>
          <w:b/>
          <w:bCs/>
        </w:rPr>
        <w:t>Popular Pensiones, OPC</w:t>
      </w:r>
    </w:p>
    <w:p w14:paraId="7B538AED" w14:textId="77777777" w:rsidR="00795CD7" w:rsidRPr="00DA1136" w:rsidRDefault="00B510F2" w:rsidP="00795CD7">
      <w:pPr>
        <w:pStyle w:val="Prrafodelista"/>
        <w:spacing w:after="0"/>
      </w:pPr>
      <w:r w:rsidRPr="00DA1136">
        <w:t xml:space="preserve">Oficio </w:t>
      </w:r>
      <w:r w:rsidR="00795CD7" w:rsidRPr="00DA1136">
        <w:t>PEN-0475-2022 del 27 de mayo del 2022</w:t>
      </w:r>
    </w:p>
    <w:p w14:paraId="4F059178" w14:textId="77777777" w:rsidR="00B26AD4" w:rsidRPr="00DA1136" w:rsidRDefault="00B26AD4" w:rsidP="00B26AD4">
      <w:pPr>
        <w:pStyle w:val="Prrafodelista"/>
        <w:numPr>
          <w:ilvl w:val="0"/>
          <w:numId w:val="1"/>
        </w:numPr>
        <w:spacing w:after="0"/>
        <w:rPr>
          <w:b/>
          <w:bCs/>
        </w:rPr>
      </w:pPr>
      <w:r w:rsidRPr="00DA1136">
        <w:rPr>
          <w:b/>
          <w:bCs/>
        </w:rPr>
        <w:t>Vida Plena, OPC</w:t>
      </w:r>
    </w:p>
    <w:p w14:paraId="23AA8DAD" w14:textId="77777777" w:rsidR="00B26AD4" w:rsidRPr="00DA1136" w:rsidRDefault="00B26AD4" w:rsidP="00B26AD4">
      <w:pPr>
        <w:pStyle w:val="Prrafodelista"/>
        <w:spacing w:after="0"/>
      </w:pPr>
      <w:r w:rsidRPr="00DA1136">
        <w:t>Oficio GG-78-2022 del 26 de mayo de 2022</w:t>
      </w:r>
    </w:p>
    <w:p w14:paraId="6109DA98" w14:textId="77777777" w:rsidR="00B26AD4" w:rsidRPr="00DA1136" w:rsidRDefault="00B26AD4" w:rsidP="00B26AD4">
      <w:pPr>
        <w:pStyle w:val="Prrafodelista"/>
        <w:numPr>
          <w:ilvl w:val="0"/>
          <w:numId w:val="1"/>
        </w:numPr>
        <w:spacing w:after="0"/>
        <w:rPr>
          <w:b/>
          <w:bCs/>
        </w:rPr>
      </w:pPr>
      <w:r w:rsidRPr="00DA1136">
        <w:rPr>
          <w:b/>
          <w:bCs/>
        </w:rPr>
        <w:t>BN Vital, OPC- Banco Nacional de Costa Rica</w:t>
      </w:r>
      <w:r w:rsidRPr="00DA1136">
        <w:t>, Subgerencia General de Riesgo y Crédito</w:t>
      </w:r>
    </w:p>
    <w:p w14:paraId="5213F4A0" w14:textId="77777777" w:rsidR="00B26AD4" w:rsidRPr="00DA1136" w:rsidRDefault="00B26AD4" w:rsidP="00B26AD4">
      <w:pPr>
        <w:pStyle w:val="Prrafodelista"/>
        <w:spacing w:after="0"/>
      </w:pPr>
      <w:r w:rsidRPr="00DA1136">
        <w:t>Oficio GER-058-2022 del 26 de mayo de 2022</w:t>
      </w:r>
    </w:p>
    <w:p w14:paraId="629C7E2E" w14:textId="77777777" w:rsidR="00795CD7" w:rsidRPr="00DA1136" w:rsidRDefault="002754D6" w:rsidP="00795CD7">
      <w:pPr>
        <w:pStyle w:val="Prrafodelista"/>
        <w:numPr>
          <w:ilvl w:val="0"/>
          <w:numId w:val="1"/>
        </w:numPr>
        <w:spacing w:after="0"/>
        <w:rPr>
          <w:b/>
          <w:bCs/>
        </w:rPr>
      </w:pPr>
      <w:r w:rsidRPr="00DA1136">
        <w:rPr>
          <w:b/>
          <w:bCs/>
        </w:rPr>
        <w:t xml:space="preserve">Asociación Costarricense de Operadoras de </w:t>
      </w:r>
      <w:r w:rsidR="00F25ED3" w:rsidRPr="00DA1136">
        <w:rPr>
          <w:b/>
          <w:bCs/>
        </w:rPr>
        <w:t>Pensiones</w:t>
      </w:r>
    </w:p>
    <w:p w14:paraId="28A1A5AC" w14:textId="77777777" w:rsidR="00F25ED3" w:rsidRPr="00DA1136" w:rsidRDefault="00B510F2" w:rsidP="00F25ED3">
      <w:pPr>
        <w:pStyle w:val="Prrafodelista"/>
        <w:spacing w:after="0"/>
      </w:pPr>
      <w:r w:rsidRPr="00DA1136">
        <w:t xml:space="preserve">Oficio </w:t>
      </w:r>
      <w:r w:rsidR="00F25ED3" w:rsidRPr="00DA1136">
        <w:t>ACOP-022-2022 de</w:t>
      </w:r>
      <w:r w:rsidR="001B7B99" w:rsidRPr="00DA1136">
        <w:t>l</w:t>
      </w:r>
      <w:r w:rsidR="00F25ED3" w:rsidRPr="00DA1136">
        <w:t xml:space="preserve"> 27 de mayo del 2022</w:t>
      </w:r>
    </w:p>
    <w:p w14:paraId="5C5D6DBB" w14:textId="77777777" w:rsidR="001B7B99" w:rsidRPr="00DA1136" w:rsidRDefault="001B7B99" w:rsidP="001B7B99">
      <w:pPr>
        <w:pStyle w:val="Prrafodelista"/>
        <w:numPr>
          <w:ilvl w:val="0"/>
          <w:numId w:val="1"/>
        </w:numPr>
        <w:spacing w:after="0"/>
        <w:rPr>
          <w:b/>
          <w:bCs/>
        </w:rPr>
      </w:pPr>
      <w:r w:rsidRPr="00DA1136">
        <w:rPr>
          <w:b/>
          <w:bCs/>
        </w:rPr>
        <w:t>Banco Central de Costa Rica</w:t>
      </w:r>
      <w:r w:rsidR="00204977" w:rsidRPr="00DA1136">
        <w:rPr>
          <w:b/>
          <w:bCs/>
        </w:rPr>
        <w:t xml:space="preserve"> (BCCR).</w:t>
      </w:r>
    </w:p>
    <w:p w14:paraId="07478C42" w14:textId="77777777" w:rsidR="001B7B99" w:rsidRPr="00DA1136" w:rsidRDefault="00B510F2" w:rsidP="001B7B99">
      <w:pPr>
        <w:pStyle w:val="Prrafodelista"/>
        <w:spacing w:after="0"/>
      </w:pPr>
      <w:r w:rsidRPr="00DA1136">
        <w:t xml:space="preserve">Oficio </w:t>
      </w:r>
      <w:r w:rsidR="4EB4A624" w:rsidRPr="00DA1136">
        <w:t>PRE-0062</w:t>
      </w:r>
      <w:r w:rsidR="001B7B99" w:rsidRPr="00DA1136">
        <w:t>/2022 del 21 de junio del 2021</w:t>
      </w:r>
    </w:p>
    <w:p w14:paraId="5EDC73FA" w14:textId="77777777" w:rsidR="00F523B7" w:rsidRPr="00DA1136" w:rsidRDefault="00F523B7" w:rsidP="00F523B7">
      <w:pPr>
        <w:pStyle w:val="Prrafodelista"/>
        <w:numPr>
          <w:ilvl w:val="0"/>
          <w:numId w:val="1"/>
        </w:numPr>
        <w:spacing w:after="0"/>
        <w:rPr>
          <w:b/>
          <w:bCs/>
        </w:rPr>
      </w:pPr>
      <w:r w:rsidRPr="00DA1136">
        <w:rPr>
          <w:b/>
          <w:bCs/>
        </w:rPr>
        <w:t>Fondo de Garantías y Jubilaciones de los Empleados del Instituto Costarricense de Electricidad</w:t>
      </w:r>
    </w:p>
    <w:p w14:paraId="4A5A19E8" w14:textId="66E7D607" w:rsidR="003D7353" w:rsidRDefault="00B510F2" w:rsidP="003D7353">
      <w:pPr>
        <w:pStyle w:val="Prrafodelista"/>
        <w:spacing w:after="0"/>
      </w:pPr>
      <w:r w:rsidRPr="00DA1136">
        <w:t xml:space="preserve">Oficio </w:t>
      </w:r>
      <w:r w:rsidR="003D7353" w:rsidRPr="00DA1136">
        <w:t>0043-072-2022 del 22</w:t>
      </w:r>
      <w:r w:rsidRPr="00DA1136">
        <w:t xml:space="preserve"> </w:t>
      </w:r>
      <w:r w:rsidR="003D7353" w:rsidRPr="00DA1136">
        <w:t>de junio de 2022</w:t>
      </w:r>
    </w:p>
    <w:p w14:paraId="5E5CA951" w14:textId="44226B49" w:rsidR="00212437" w:rsidRPr="00212437" w:rsidRDefault="00212437" w:rsidP="00212437">
      <w:pPr>
        <w:pStyle w:val="Prrafodelista"/>
        <w:numPr>
          <w:ilvl w:val="0"/>
          <w:numId w:val="1"/>
        </w:numPr>
        <w:spacing w:after="0"/>
        <w:rPr>
          <w:b/>
          <w:bCs/>
        </w:rPr>
      </w:pPr>
      <w:r w:rsidRPr="00212437">
        <w:rPr>
          <w:b/>
          <w:bCs/>
        </w:rPr>
        <w:t>JUPEMA</w:t>
      </w:r>
    </w:p>
    <w:p w14:paraId="670AC4D3" w14:textId="23D87107" w:rsidR="002C4D44" w:rsidRPr="00DA1136" w:rsidRDefault="00212437" w:rsidP="00212437">
      <w:pPr>
        <w:pStyle w:val="Prrafodelista"/>
        <w:spacing w:after="0"/>
      </w:pPr>
      <w:r>
        <w:t>Oficio DE-0332-06-2022 del 8 de junio de 2022</w:t>
      </w:r>
    </w:p>
    <w:p w14:paraId="7DA0BC2F" w14:textId="77777777" w:rsidR="0007737F" w:rsidRPr="00DA1136" w:rsidRDefault="0007737F" w:rsidP="00B71D01">
      <w:pPr>
        <w:spacing w:after="0"/>
        <w:rPr>
          <w:b/>
          <w:bCs/>
          <w:sz w:val="24"/>
          <w:szCs w:val="24"/>
        </w:rPr>
      </w:pPr>
    </w:p>
    <w:tbl>
      <w:tblPr>
        <w:tblStyle w:val="Tablaconcuadrcula"/>
        <w:tblW w:w="0" w:type="auto"/>
        <w:tblLook w:val="04A0" w:firstRow="1" w:lastRow="0" w:firstColumn="1" w:lastColumn="0" w:noHBand="0" w:noVBand="1"/>
      </w:tblPr>
      <w:tblGrid>
        <w:gridCol w:w="2184"/>
        <w:gridCol w:w="16"/>
        <w:gridCol w:w="2248"/>
        <w:gridCol w:w="2196"/>
        <w:gridCol w:w="2184"/>
      </w:tblGrid>
      <w:tr w:rsidR="00DA1136" w:rsidRPr="00DA1136" w14:paraId="08663C68" w14:textId="77777777" w:rsidTr="0084583A">
        <w:tc>
          <w:tcPr>
            <w:tcW w:w="2200" w:type="dxa"/>
            <w:gridSpan w:val="2"/>
            <w:shd w:val="clear" w:color="auto" w:fill="D9D9D9" w:themeFill="background1" w:themeFillShade="D9"/>
          </w:tcPr>
          <w:p w14:paraId="1A604E4A" w14:textId="77777777" w:rsidR="0076517B" w:rsidRPr="00DA1136" w:rsidRDefault="0076517B" w:rsidP="00922E2C">
            <w:pPr>
              <w:jc w:val="center"/>
              <w:rPr>
                <w:b/>
                <w:bCs/>
              </w:rPr>
            </w:pPr>
            <w:r w:rsidRPr="00DA1136">
              <w:rPr>
                <w:b/>
                <w:bCs/>
              </w:rPr>
              <w:t>Texto consultado</w:t>
            </w:r>
          </w:p>
        </w:tc>
        <w:tc>
          <w:tcPr>
            <w:tcW w:w="2248" w:type="dxa"/>
            <w:shd w:val="clear" w:color="auto" w:fill="D9D9D9" w:themeFill="background1" w:themeFillShade="D9"/>
          </w:tcPr>
          <w:p w14:paraId="7BA8200E" w14:textId="77777777" w:rsidR="0076517B" w:rsidRPr="00DA1136" w:rsidRDefault="0076517B" w:rsidP="00922E2C">
            <w:pPr>
              <w:jc w:val="center"/>
              <w:rPr>
                <w:b/>
                <w:bCs/>
              </w:rPr>
            </w:pPr>
            <w:r w:rsidRPr="00DA1136">
              <w:rPr>
                <w:b/>
                <w:bCs/>
              </w:rPr>
              <w:t>Observaciones recibidas</w:t>
            </w:r>
          </w:p>
        </w:tc>
        <w:tc>
          <w:tcPr>
            <w:tcW w:w="2196" w:type="dxa"/>
            <w:shd w:val="clear" w:color="auto" w:fill="D9D9D9" w:themeFill="background1" w:themeFillShade="D9"/>
          </w:tcPr>
          <w:p w14:paraId="7BE2BB9C" w14:textId="77777777" w:rsidR="0076517B" w:rsidRPr="00DA1136" w:rsidRDefault="0076517B" w:rsidP="00922E2C">
            <w:pPr>
              <w:jc w:val="center"/>
              <w:rPr>
                <w:b/>
                <w:bCs/>
              </w:rPr>
            </w:pPr>
            <w:r w:rsidRPr="00DA1136">
              <w:rPr>
                <w:b/>
                <w:bCs/>
              </w:rPr>
              <w:t>Atención observaciones</w:t>
            </w:r>
          </w:p>
        </w:tc>
        <w:tc>
          <w:tcPr>
            <w:tcW w:w="2184" w:type="dxa"/>
            <w:shd w:val="clear" w:color="auto" w:fill="D9D9D9" w:themeFill="background1" w:themeFillShade="D9"/>
          </w:tcPr>
          <w:p w14:paraId="444439B2" w14:textId="77777777" w:rsidR="0076517B" w:rsidRPr="00DA1136" w:rsidRDefault="0076517B" w:rsidP="00922E2C">
            <w:pPr>
              <w:jc w:val="center"/>
              <w:rPr>
                <w:b/>
                <w:bCs/>
              </w:rPr>
            </w:pPr>
            <w:r w:rsidRPr="00DA1136">
              <w:rPr>
                <w:b/>
                <w:bCs/>
              </w:rPr>
              <w:t>Texto final</w:t>
            </w:r>
          </w:p>
        </w:tc>
      </w:tr>
      <w:tr w:rsidR="00DA1136" w:rsidRPr="00DA1136" w14:paraId="25E7887A" w14:textId="77777777" w:rsidTr="0084583A">
        <w:tc>
          <w:tcPr>
            <w:tcW w:w="2200" w:type="dxa"/>
            <w:gridSpan w:val="2"/>
          </w:tcPr>
          <w:p w14:paraId="552813FB" w14:textId="77777777" w:rsidR="00EA0CF9" w:rsidRPr="00DA1136" w:rsidRDefault="005352CF" w:rsidP="00EA0CF9">
            <w:pPr>
              <w:rPr>
                <w:lang w:val="es-ES"/>
              </w:rPr>
            </w:pPr>
            <w:r w:rsidRPr="00DA1136">
              <w:t>“</w:t>
            </w:r>
            <w:r w:rsidR="00EA0CF9" w:rsidRPr="00DA1136">
              <w:rPr>
                <w:b/>
                <w:bCs/>
                <w:lang w:val="es-ES"/>
              </w:rPr>
              <w:t>Artículo 15. Monedas permitidas</w:t>
            </w:r>
          </w:p>
          <w:p w14:paraId="7D9378D8" w14:textId="77777777" w:rsidR="00811003" w:rsidRPr="00DA1136" w:rsidRDefault="00811003" w:rsidP="00811003">
            <w:r w:rsidRPr="00DA1136">
              <w:t>(…)</w:t>
            </w:r>
          </w:p>
          <w:p w14:paraId="1D8FEF8E" w14:textId="77777777" w:rsidR="00811003" w:rsidRPr="00DA1136" w:rsidRDefault="00811003" w:rsidP="00811003">
            <w:r w:rsidRPr="00DA1136">
              <w:t xml:space="preserve">Las entidades reguladas que mantengan inversiones en valores denominados en monedas distintas al Colón en los fondos de pensiones en colones deberán utilizar coberturas de tipo de cambio que permitan, como mínimo, cubrir los riesgos </w:t>
            </w:r>
            <w:r w:rsidR="00CE1D86" w:rsidRPr="00DA1136">
              <w:t xml:space="preserve">cambiarios </w:t>
            </w:r>
            <w:r w:rsidRPr="00DA1136">
              <w:t xml:space="preserve">a </w:t>
            </w:r>
            <w:r w:rsidRPr="00DA1136">
              <w:lastRenderedPageBreak/>
              <w:t>que puedan estar expuestos los flujos de pago a los afiliados y pensionados, por concepto de pensión, retiros y libre transferencia. La cobertura deberá considerar, al menos, la exposición al riesgo cambiario de los montos correspondientes a estos conceptos por los tres meses siguientes.</w:t>
            </w:r>
          </w:p>
          <w:p w14:paraId="35E5E271" w14:textId="77777777" w:rsidR="00811003" w:rsidRPr="00DA1136" w:rsidRDefault="00811003" w:rsidP="00811003"/>
          <w:p w14:paraId="4F2CEA4F" w14:textId="77777777" w:rsidR="00811003" w:rsidRPr="00DA1136" w:rsidRDefault="00811003" w:rsidP="00811003">
            <w:r w:rsidRPr="00DA1136">
              <w:t>No obstante, si las inversiones en valores denominados en monedas distintas al Colón sobrepasan el 40% del valor del activo de los fondos de pensiones denominados en colones, se deberán utilizar coberturas de tipo de cambio para la posición que sobrepase el umbral indicado.</w:t>
            </w:r>
          </w:p>
          <w:p w14:paraId="0925A9B3" w14:textId="77777777" w:rsidR="00811003" w:rsidRPr="00DA1136" w:rsidRDefault="00811003" w:rsidP="00811003"/>
          <w:p w14:paraId="04EBF912" w14:textId="77777777" w:rsidR="00811003" w:rsidRPr="00DA1136" w:rsidRDefault="00811003" w:rsidP="00811003">
            <w:r w:rsidRPr="00DA1136">
              <w:t>Las anteriores disposiciones también aplican al Fondo de Capitalización Laboral.</w:t>
            </w:r>
          </w:p>
          <w:p w14:paraId="6BBECE20" w14:textId="77777777" w:rsidR="0076517B" w:rsidRPr="00DA1136" w:rsidRDefault="00811003" w:rsidP="00811003">
            <w:r w:rsidRPr="00DA1136">
              <w:t>(…)’</w:t>
            </w:r>
          </w:p>
        </w:tc>
        <w:tc>
          <w:tcPr>
            <w:tcW w:w="2248" w:type="dxa"/>
          </w:tcPr>
          <w:p w14:paraId="11F6905F" w14:textId="77777777" w:rsidR="00F86453" w:rsidRPr="00DA1136" w:rsidRDefault="00F86453" w:rsidP="00A644D1">
            <w:pPr>
              <w:rPr>
                <w:b/>
                <w:bCs/>
              </w:rPr>
            </w:pPr>
            <w:r w:rsidRPr="00DA1136">
              <w:rPr>
                <w:b/>
                <w:bCs/>
              </w:rPr>
              <w:lastRenderedPageBreak/>
              <w:t>BCCR</w:t>
            </w:r>
          </w:p>
          <w:p w14:paraId="3B0D51F9" w14:textId="77777777" w:rsidR="00F86453" w:rsidRPr="00DA1136" w:rsidRDefault="00081ADD" w:rsidP="00A644D1">
            <w:r w:rsidRPr="00DA1136">
              <w:t>Este cambio resulta positivo, ya que podría considerarse como el establecimiento de una gestión del riesgo cambiario ante la exposición cambiaria.</w:t>
            </w:r>
          </w:p>
          <w:p w14:paraId="090E7F8C" w14:textId="01E5FA77" w:rsidR="00A84E29" w:rsidRDefault="00A84E29" w:rsidP="00A644D1"/>
          <w:p w14:paraId="0F23ADEA" w14:textId="77777777" w:rsidR="00723750" w:rsidRPr="001071B8" w:rsidRDefault="00723750" w:rsidP="00723750">
            <w:pPr>
              <w:rPr>
                <w:b/>
                <w:bCs/>
              </w:rPr>
            </w:pPr>
            <w:r w:rsidRPr="001071B8">
              <w:rPr>
                <w:b/>
                <w:bCs/>
              </w:rPr>
              <w:t>JUPEMA</w:t>
            </w:r>
          </w:p>
          <w:p w14:paraId="66D3AAF8" w14:textId="77777777" w:rsidR="00723750" w:rsidRDefault="00723750" w:rsidP="00723750">
            <w:r>
              <w:t xml:space="preserve">El RCC es un fondo de pensiones del primer pilar y se encuentra en su fase de acumulación; por lo tanto, los ingresos </w:t>
            </w:r>
            <w:r>
              <w:lastRenderedPageBreak/>
              <w:t>percibidos por este son mucho más elevados que sus compromisos por pago de pensiones; tal como se demuestra en las valuaciones actuariales anuales. Las valuaciones demuestran que el proceso de desacumulación será entre alrededor de 15 años o más; por consiguiente, las inversiones del Régimen son de más a largo plazo.</w:t>
            </w:r>
          </w:p>
          <w:p w14:paraId="6152D870" w14:textId="77777777" w:rsidR="00723750" w:rsidRDefault="00723750" w:rsidP="00723750">
            <w:r>
              <w:t>Además, las salidas de recursos financieros son programadas y preestablecidas de acuerdo con las condiciones establecidas en su ley constitutiva (ley n° 7531 y sus reformas). Por ello, no se aplica los retiros ni la libre transferencia y los montos de pensión por invalidez no son significativos para el régimen; tal como se demuestran en los resultados de los análisis elaborados por el Departamento Actuarial institucional y remitidos a su representada.</w:t>
            </w:r>
          </w:p>
          <w:p w14:paraId="4246338E" w14:textId="77777777" w:rsidR="00723750" w:rsidRDefault="00723750" w:rsidP="00723750">
            <w:r>
              <w:t xml:space="preserve">Con base en lo expuesto anteriormente, no se tiene exposición de flujos de pago a los afiliados y pensionados, por </w:t>
            </w:r>
            <w:r>
              <w:lastRenderedPageBreak/>
              <w:t>concepto de pensión, retiros y libre transferencia en el corto y mediano plazo (menos de 10 años). Por consiguiente, desde nuestro punto de vista analizado se considera que a la gestión financiera del RCC, no le aplica lo indicado en el primer párrafo del artículo 15 del reglamento en consulta.</w:t>
            </w:r>
          </w:p>
          <w:p w14:paraId="6EC66B30" w14:textId="77777777" w:rsidR="00723750" w:rsidRPr="00DA1136" w:rsidRDefault="00723750" w:rsidP="00A644D1"/>
          <w:p w14:paraId="750E1362" w14:textId="77777777" w:rsidR="00792D90" w:rsidRDefault="00792D90" w:rsidP="00792D90">
            <w:pPr>
              <w:rPr>
                <w:b/>
                <w:bCs/>
              </w:rPr>
            </w:pPr>
            <w:r>
              <w:rPr>
                <w:b/>
                <w:bCs/>
              </w:rPr>
              <w:t>JUPEMA</w:t>
            </w:r>
          </w:p>
          <w:p w14:paraId="380A8499" w14:textId="77777777" w:rsidR="00792D90" w:rsidRPr="004B5F70" w:rsidRDefault="00792D90" w:rsidP="00792D90">
            <w:r w:rsidRPr="004B5F70">
              <w:t>Para alcanzar el porcentaje máximo indicado en el párrafo anterior se debe tener completa la inversión en mercado internacional, en infraestructura y un alto porcentaje de inversión en el mercado de valores costarricense. Sin embargo, la ley n°7531 y sus reformas establece límites y gradualidad de inversión para mercado internacional e infraestructura, siendo las dos principales alternativas de inversión en moneda extranjera (dólares).</w:t>
            </w:r>
          </w:p>
          <w:p w14:paraId="068DADF0" w14:textId="77777777" w:rsidR="00792D90" w:rsidRPr="004B5F70" w:rsidRDefault="00792D90" w:rsidP="00792D90">
            <w:r w:rsidRPr="004B5F70">
              <w:t xml:space="preserve">Los límites establecen un máximo de 20% en cada alternativa de inversión con gradualidad de máximo 5% el primer año en cada opción y </w:t>
            </w:r>
            <w:r w:rsidRPr="004B5F70">
              <w:lastRenderedPageBreak/>
              <w:t>crecerán 5% cada 3 años para mercados internacionales y 5% cada 5 años para infraestructura. Por lo tanto, deberán transcurrir aproximadamente más de 10 años para alcanzar esos límites máximos de inversión en ambas alternativas; aunado a un alto porcentaje en inversión en mercado de valores costarricense en dólares; no obstante, como es su conocimiento el mercado de valores nacional es poco profundo y las opciones de inversión en dólares son limitadas.</w:t>
            </w:r>
          </w:p>
          <w:p w14:paraId="0C3FD948" w14:textId="730C9745" w:rsidR="00063205" w:rsidRDefault="00063205" w:rsidP="00A644D1"/>
          <w:p w14:paraId="087F5436" w14:textId="77777777" w:rsidR="00A84E29" w:rsidRPr="00DA1136" w:rsidRDefault="00A84E29" w:rsidP="00A644D1">
            <w:pPr>
              <w:rPr>
                <w:b/>
                <w:bCs/>
              </w:rPr>
            </w:pPr>
            <w:r w:rsidRPr="00DA1136">
              <w:rPr>
                <w:b/>
                <w:bCs/>
              </w:rPr>
              <w:t>Fondo ICE</w:t>
            </w:r>
          </w:p>
          <w:p w14:paraId="17CE3FCF" w14:textId="77777777" w:rsidR="006531A9" w:rsidRPr="00DA1136" w:rsidRDefault="006531A9" w:rsidP="006531A9">
            <w:r w:rsidRPr="00DA1136">
              <w:t xml:space="preserve">A pesar de que en el mercado financiero nacional existe la normativa </w:t>
            </w:r>
          </w:p>
          <w:p w14:paraId="5E72B7C6" w14:textId="77777777" w:rsidR="006531A9" w:rsidRPr="00DA1136" w:rsidRDefault="006531A9" w:rsidP="006531A9">
            <w:r w:rsidRPr="00DA1136">
              <w:t xml:space="preserve">necesaria para la implementación y transacción de instrumentos derivados, </w:t>
            </w:r>
          </w:p>
          <w:p w14:paraId="7200FD05" w14:textId="77777777" w:rsidR="006531A9" w:rsidRPr="00DA1136" w:rsidRDefault="006531A9" w:rsidP="006531A9">
            <w:r w:rsidRPr="00DA1136">
              <w:t xml:space="preserve">no se ha visto un desarrollo de transacciones de esa naturaleza en el </w:t>
            </w:r>
          </w:p>
          <w:p w14:paraId="2AF79DB5" w14:textId="77777777" w:rsidR="006531A9" w:rsidRPr="00DA1136" w:rsidRDefault="006531A9" w:rsidP="006531A9">
            <w:r w:rsidRPr="00DA1136">
              <w:t>mercado nacional.</w:t>
            </w:r>
          </w:p>
          <w:p w14:paraId="7869EA03" w14:textId="77777777" w:rsidR="006531A9" w:rsidRPr="00DA1136" w:rsidRDefault="006531A9" w:rsidP="006531A9">
            <w:r w:rsidRPr="00DA1136">
              <w:t xml:space="preserve">• Dado lo indicado en el punto anterior, no existe en el mercado local oferta de </w:t>
            </w:r>
          </w:p>
          <w:p w14:paraId="12437D50" w14:textId="77777777" w:rsidR="006531A9" w:rsidRPr="00DA1136" w:rsidRDefault="006531A9" w:rsidP="006531A9">
            <w:r w:rsidRPr="00DA1136">
              <w:t xml:space="preserve">instrumentos de cobertura para riesgos </w:t>
            </w:r>
            <w:r w:rsidRPr="00DA1136">
              <w:lastRenderedPageBreak/>
              <w:t>de tipo cambiario, y a nivel internacional el colón costarricense no constituye una divisa de peso para que los estructuradores de derivados se vean</w:t>
            </w:r>
            <w:r w:rsidR="00B6403F" w:rsidRPr="00DA1136">
              <w:t xml:space="preserve"> </w:t>
            </w:r>
            <w:r w:rsidRPr="00DA1136">
              <w:t>atraídos a la confección y</w:t>
            </w:r>
            <w:r w:rsidR="00B6403F" w:rsidRPr="00DA1136">
              <w:t xml:space="preserve"> </w:t>
            </w:r>
            <w:r w:rsidRPr="00DA1136">
              <w:t>colocación de instrumentos financieros de cobertura cambiaria.</w:t>
            </w:r>
          </w:p>
          <w:p w14:paraId="422B223B" w14:textId="77777777" w:rsidR="006531A9" w:rsidRPr="00DA1136" w:rsidRDefault="006531A9" w:rsidP="006531A9">
            <w:r w:rsidRPr="00DA1136">
              <w:t xml:space="preserve">• El mercado cambiario nacional consta de pocos actores y con volúmenes de </w:t>
            </w:r>
          </w:p>
          <w:p w14:paraId="0BCD05CE" w14:textId="77777777" w:rsidR="006531A9" w:rsidRPr="00DA1136" w:rsidRDefault="006531A9" w:rsidP="006531A9">
            <w:r w:rsidRPr="00DA1136">
              <w:t xml:space="preserve">transacciones que pueden influir el tipo de cambio de manera importante, esto </w:t>
            </w:r>
          </w:p>
          <w:p w14:paraId="5364778B" w14:textId="77777777" w:rsidR="006531A9" w:rsidRPr="00DA1136" w:rsidRDefault="006531A9" w:rsidP="006531A9">
            <w:r w:rsidRPr="00DA1136">
              <w:t xml:space="preserve">constituye otro factor de riesgo implícito que hace que el mercado de </w:t>
            </w:r>
          </w:p>
          <w:p w14:paraId="504AE2D1" w14:textId="77777777" w:rsidR="006531A9" w:rsidRPr="00DA1136" w:rsidRDefault="006531A9" w:rsidP="006531A9">
            <w:r w:rsidRPr="00DA1136">
              <w:t>coberturas no se desarrolle.</w:t>
            </w:r>
          </w:p>
          <w:p w14:paraId="63EC452A" w14:textId="77777777" w:rsidR="006531A9" w:rsidRPr="00DA1136" w:rsidRDefault="006531A9" w:rsidP="006531A9">
            <w:r w:rsidRPr="00DA1136">
              <w:t xml:space="preserve">• Partiendo de que el máximo permitido de inversión internacional para los </w:t>
            </w:r>
          </w:p>
          <w:p w14:paraId="7A2642E8" w14:textId="77777777" w:rsidR="006531A9" w:rsidRPr="00DA1136" w:rsidRDefault="006531A9" w:rsidP="006531A9">
            <w:r w:rsidRPr="00DA1136">
              <w:t xml:space="preserve">fondos de pensiones en la Ley de Protección al Trabajador es del 50% de sus </w:t>
            </w:r>
          </w:p>
          <w:p w14:paraId="28E1B8A4" w14:textId="77777777" w:rsidR="006531A9" w:rsidRPr="00DA1136" w:rsidRDefault="006531A9" w:rsidP="006531A9">
            <w:r w:rsidRPr="00DA1136">
              <w:t xml:space="preserve">activos cuando las condiciones externas lo justifiquen, el umbral del 40% </w:t>
            </w:r>
          </w:p>
          <w:p w14:paraId="767536E1" w14:textId="77777777" w:rsidR="006531A9" w:rsidRPr="00DA1136" w:rsidRDefault="006531A9" w:rsidP="006531A9">
            <w:r w:rsidRPr="00DA1136">
              <w:t xml:space="preserve">determinado en el segundo párrafo agregado y que indica que sobre los </w:t>
            </w:r>
          </w:p>
          <w:p w14:paraId="09C744A3" w14:textId="77777777" w:rsidR="006531A9" w:rsidRPr="00DA1136" w:rsidRDefault="006531A9" w:rsidP="006531A9">
            <w:r w:rsidRPr="00DA1136">
              <w:t xml:space="preserve">excesos a ese límite se deberán utilizar </w:t>
            </w:r>
            <w:r w:rsidRPr="00DA1136">
              <w:lastRenderedPageBreak/>
              <w:t xml:space="preserve">coberturas de tipo de cambio, pone </w:t>
            </w:r>
          </w:p>
          <w:p w14:paraId="3CA0CE19" w14:textId="77777777" w:rsidR="006531A9" w:rsidRPr="00DA1136" w:rsidRDefault="006531A9" w:rsidP="006531A9">
            <w:r w:rsidRPr="00DA1136">
              <w:t xml:space="preserve">una limitante a los administradores de pensiones, pues como se indicó </w:t>
            </w:r>
          </w:p>
          <w:p w14:paraId="000F675C" w14:textId="77777777" w:rsidR="006531A9" w:rsidRPr="00DA1136" w:rsidRDefault="006531A9" w:rsidP="006531A9">
            <w:r w:rsidRPr="00DA1136">
              <w:t xml:space="preserve">previamente, la escasez de oferta de instrumentos de cobertura cambiara </w:t>
            </w:r>
          </w:p>
          <w:p w14:paraId="69FCD277" w14:textId="77777777" w:rsidR="006531A9" w:rsidRPr="00DA1136" w:rsidRDefault="006531A9" w:rsidP="006531A9">
            <w:r w:rsidRPr="00DA1136">
              <w:t>colón-dólar impediría a los fondos de pensiones utilizar el segmento del 10%</w:t>
            </w:r>
          </w:p>
          <w:p w14:paraId="23231938" w14:textId="77777777" w:rsidR="00A84E29" w:rsidRPr="00DA1136" w:rsidRDefault="006531A9" w:rsidP="006531A9">
            <w:r w:rsidRPr="00DA1136">
              <w:t>adicional que le permite la ley de invertir en títulos internacionales.</w:t>
            </w:r>
          </w:p>
          <w:p w14:paraId="148B2F5F" w14:textId="77777777" w:rsidR="007858D0" w:rsidRPr="00DA1136" w:rsidRDefault="007858D0" w:rsidP="006531A9">
            <w:r w:rsidRPr="00DA1136">
              <w:t>(</w:t>
            </w:r>
            <w:r w:rsidR="00ED1101" w:rsidRPr="00DA1136">
              <w:t>…)</w:t>
            </w:r>
          </w:p>
          <w:p w14:paraId="3AA50191" w14:textId="77777777" w:rsidR="00ED1101" w:rsidRPr="00DA1136" w:rsidRDefault="00ED1101" w:rsidP="00ED1101">
            <w:r w:rsidRPr="00DA1136">
              <w:t xml:space="preserve">Sí bien es cierto, el tema de coberturas sobre los distintos riesgos que asumen las inversiones de los fondos de pensión es un factor importante para mitigarlos, tanto </w:t>
            </w:r>
          </w:p>
          <w:p w14:paraId="6739D80A" w14:textId="77777777" w:rsidR="00ED1101" w:rsidRPr="00DA1136" w:rsidRDefault="00ED1101" w:rsidP="00ED1101">
            <w:r w:rsidRPr="00DA1136">
              <w:t xml:space="preserve">aquellos que afectan el valor del patrimonio como a los flujos de caja para hacer </w:t>
            </w:r>
          </w:p>
          <w:p w14:paraId="3121D299" w14:textId="77777777" w:rsidR="00ED1101" w:rsidRPr="00DA1136" w:rsidRDefault="00ED1101" w:rsidP="00ED1101">
            <w:r w:rsidRPr="00DA1136">
              <w:t xml:space="preserve">frente a los pagos de sus beneficiarios, no se ve un grado de madurez suficiente en </w:t>
            </w:r>
          </w:p>
          <w:p w14:paraId="7998FEB0" w14:textId="77777777" w:rsidR="00ED1101" w:rsidRPr="00DA1136" w:rsidRDefault="00ED1101" w:rsidP="00ED1101">
            <w:r w:rsidRPr="00DA1136">
              <w:t xml:space="preserve">el mercado nacional que permita tener acceso a un costo razonable de instrumentos </w:t>
            </w:r>
          </w:p>
          <w:p w14:paraId="7D6F8E3C" w14:textId="77777777" w:rsidR="00ED1101" w:rsidRPr="00DA1136" w:rsidRDefault="00ED1101" w:rsidP="00ED1101">
            <w:r w:rsidRPr="00DA1136">
              <w:t>de cobertura por riesgo cambiario del colón.</w:t>
            </w:r>
          </w:p>
          <w:p w14:paraId="3BB08E01" w14:textId="77777777" w:rsidR="00F86453" w:rsidRDefault="00F86453" w:rsidP="00A644D1">
            <w:pPr>
              <w:rPr>
                <w:b/>
                <w:bCs/>
              </w:rPr>
            </w:pPr>
          </w:p>
          <w:p w14:paraId="7F44A017" w14:textId="77777777" w:rsidR="00352BA6" w:rsidRDefault="00352BA6" w:rsidP="00A644D1">
            <w:pPr>
              <w:rPr>
                <w:b/>
                <w:bCs/>
              </w:rPr>
            </w:pPr>
          </w:p>
          <w:p w14:paraId="06BE897F" w14:textId="77777777" w:rsidR="00352BA6" w:rsidRDefault="00352BA6" w:rsidP="00A644D1">
            <w:pPr>
              <w:rPr>
                <w:b/>
                <w:bCs/>
              </w:rPr>
            </w:pPr>
          </w:p>
          <w:p w14:paraId="56AD796B" w14:textId="77777777" w:rsidR="00352BA6" w:rsidRDefault="00352BA6" w:rsidP="00A644D1">
            <w:pPr>
              <w:rPr>
                <w:b/>
                <w:bCs/>
              </w:rPr>
            </w:pPr>
          </w:p>
          <w:p w14:paraId="5817E51F" w14:textId="77777777" w:rsidR="00352BA6" w:rsidRDefault="00352BA6" w:rsidP="00A644D1">
            <w:pPr>
              <w:rPr>
                <w:b/>
                <w:bCs/>
              </w:rPr>
            </w:pPr>
          </w:p>
          <w:p w14:paraId="27BDBBA4" w14:textId="77777777" w:rsidR="00352BA6" w:rsidRDefault="00352BA6" w:rsidP="00A644D1">
            <w:pPr>
              <w:rPr>
                <w:b/>
                <w:bCs/>
              </w:rPr>
            </w:pPr>
          </w:p>
          <w:p w14:paraId="34D45334" w14:textId="77777777" w:rsidR="00352BA6" w:rsidRDefault="00352BA6" w:rsidP="00A644D1">
            <w:pPr>
              <w:rPr>
                <w:b/>
                <w:bCs/>
              </w:rPr>
            </w:pPr>
          </w:p>
          <w:p w14:paraId="5088B673" w14:textId="77777777" w:rsidR="00352BA6" w:rsidRDefault="00352BA6" w:rsidP="00A644D1">
            <w:pPr>
              <w:rPr>
                <w:b/>
                <w:bCs/>
              </w:rPr>
            </w:pPr>
          </w:p>
          <w:p w14:paraId="27CC3B56" w14:textId="77777777" w:rsidR="00352BA6" w:rsidRDefault="00352BA6" w:rsidP="00A644D1">
            <w:pPr>
              <w:rPr>
                <w:b/>
                <w:bCs/>
              </w:rPr>
            </w:pPr>
          </w:p>
          <w:p w14:paraId="610D18BF" w14:textId="77777777" w:rsidR="00352BA6" w:rsidRDefault="00352BA6" w:rsidP="00A644D1">
            <w:pPr>
              <w:rPr>
                <w:b/>
                <w:bCs/>
              </w:rPr>
            </w:pPr>
          </w:p>
          <w:p w14:paraId="4E7B54AB" w14:textId="77777777" w:rsidR="00352BA6" w:rsidRDefault="00352BA6" w:rsidP="00A644D1">
            <w:pPr>
              <w:rPr>
                <w:b/>
                <w:bCs/>
              </w:rPr>
            </w:pPr>
          </w:p>
          <w:p w14:paraId="6C6BF292" w14:textId="77777777" w:rsidR="00352BA6" w:rsidRDefault="00352BA6" w:rsidP="00A644D1">
            <w:pPr>
              <w:rPr>
                <w:b/>
                <w:bCs/>
              </w:rPr>
            </w:pPr>
          </w:p>
          <w:p w14:paraId="0445ABB3" w14:textId="77777777" w:rsidR="00352BA6" w:rsidRDefault="00352BA6" w:rsidP="00A644D1">
            <w:pPr>
              <w:rPr>
                <w:b/>
                <w:bCs/>
              </w:rPr>
            </w:pPr>
          </w:p>
          <w:p w14:paraId="7FD8B1CA" w14:textId="77777777" w:rsidR="00352BA6" w:rsidRDefault="00352BA6" w:rsidP="00A644D1">
            <w:pPr>
              <w:rPr>
                <w:b/>
                <w:bCs/>
              </w:rPr>
            </w:pPr>
          </w:p>
          <w:p w14:paraId="37298254" w14:textId="77777777" w:rsidR="00352BA6" w:rsidRDefault="00352BA6" w:rsidP="00A644D1">
            <w:pPr>
              <w:rPr>
                <w:b/>
                <w:bCs/>
              </w:rPr>
            </w:pPr>
          </w:p>
          <w:p w14:paraId="4E799261" w14:textId="77777777" w:rsidR="00055F33" w:rsidRDefault="00055F33" w:rsidP="00A644D1">
            <w:pPr>
              <w:rPr>
                <w:b/>
                <w:bCs/>
              </w:rPr>
            </w:pPr>
          </w:p>
          <w:p w14:paraId="28F1601E" w14:textId="77777777" w:rsidR="00055F33" w:rsidRPr="00DA1136" w:rsidRDefault="00055F33" w:rsidP="00A644D1">
            <w:pPr>
              <w:rPr>
                <w:b/>
                <w:bCs/>
              </w:rPr>
            </w:pPr>
          </w:p>
          <w:p w14:paraId="4F01204F" w14:textId="77777777" w:rsidR="0076517B" w:rsidRPr="00DA1136" w:rsidRDefault="002C140C" w:rsidP="00A644D1">
            <w:pPr>
              <w:rPr>
                <w:b/>
                <w:bCs/>
              </w:rPr>
            </w:pPr>
            <w:r w:rsidRPr="00DA1136">
              <w:rPr>
                <w:b/>
                <w:bCs/>
              </w:rPr>
              <w:t>BNCR</w:t>
            </w:r>
          </w:p>
          <w:p w14:paraId="7941667D" w14:textId="77777777" w:rsidR="002C140C" w:rsidRPr="00DA1136" w:rsidRDefault="002C140C" w:rsidP="002C140C">
            <w:r w:rsidRPr="00DA1136">
              <w:t xml:space="preserve">Se requiere aclarar cuáles son los flujos que están solicitando cubrir ya que contradice el artículo 31 del Monto de la Cobertura del Reglamento de Gestión de Activos donde indica que la cobertura es sobre una inversión mantenida. </w:t>
            </w:r>
          </w:p>
          <w:p w14:paraId="5D05C9E9" w14:textId="77777777" w:rsidR="002C140C" w:rsidRPr="00DA1136" w:rsidRDefault="002C140C" w:rsidP="002C140C">
            <w:r w:rsidRPr="00DA1136">
              <w:t>Se considera que no es funcional solicitar una cobertura sobre flujos proyectados de salidas en colones.</w:t>
            </w:r>
          </w:p>
          <w:p w14:paraId="421FDD44" w14:textId="77777777" w:rsidR="00084999" w:rsidRPr="00DA1136" w:rsidRDefault="00084999" w:rsidP="002C140C"/>
          <w:p w14:paraId="5B784993" w14:textId="77777777" w:rsidR="002C140C" w:rsidRPr="00DA1136" w:rsidRDefault="002C140C" w:rsidP="002C140C">
            <w:r w:rsidRPr="00DA1136">
              <w:t xml:space="preserve">Se requiere que se indique </w:t>
            </w:r>
            <w:r w:rsidRPr="00DA1136">
              <w:rPr>
                <w:b/>
                <w:bCs/>
              </w:rPr>
              <w:t>qué tipo de cambio</w:t>
            </w:r>
            <w:r w:rsidRPr="00DA1136">
              <w:t xml:space="preserve"> se utilizará en caso de dolarizar el monto de las salidas de los próximos tres meses para hacer la cobertura correspondiente. Aunado a lo anterior, se sugiere implementar un sistema obligatorio que valore en colones el tipo de cambio fijado en la cobertura </w:t>
            </w:r>
            <w:r w:rsidRPr="00DA1136">
              <w:lastRenderedPageBreak/>
              <w:t>con el fin de que el afiliado conozca que el monto retirado se inmunizó a la variación cambiara del último trimestre.</w:t>
            </w:r>
          </w:p>
          <w:p w14:paraId="30AB7E5F" w14:textId="77777777" w:rsidR="002C140C" w:rsidRPr="00DA1136" w:rsidRDefault="002C140C" w:rsidP="002C140C"/>
          <w:p w14:paraId="3E1BC08E" w14:textId="77777777" w:rsidR="002C140C" w:rsidRPr="00DA1136" w:rsidRDefault="002C140C" w:rsidP="002C140C">
            <w:r w:rsidRPr="00DA1136">
              <w:t>Se requiere aclaración con respecto a si el fondo administrado cubre las minusvalías o plusvalías en el contrato de cobertura cambiaria.</w:t>
            </w:r>
          </w:p>
          <w:p w14:paraId="49B6CA59" w14:textId="77777777" w:rsidR="002C140C" w:rsidRPr="00DA1136" w:rsidRDefault="002C140C" w:rsidP="002C140C"/>
          <w:p w14:paraId="047D8C1B" w14:textId="77777777" w:rsidR="006251A4" w:rsidRPr="00DA1136" w:rsidRDefault="006251A4" w:rsidP="002C140C"/>
          <w:p w14:paraId="5F749E21" w14:textId="77777777" w:rsidR="00F64E60" w:rsidRPr="00DA1136" w:rsidRDefault="00F64E60" w:rsidP="002C140C"/>
          <w:p w14:paraId="17E34C48" w14:textId="77777777" w:rsidR="00F64E60" w:rsidRPr="00DA1136" w:rsidRDefault="00F64E60" w:rsidP="002C140C"/>
          <w:p w14:paraId="05F2160A" w14:textId="77777777" w:rsidR="00F64E60" w:rsidRPr="00DA1136" w:rsidRDefault="00F64E60" w:rsidP="002C140C"/>
          <w:p w14:paraId="334433BB" w14:textId="77777777" w:rsidR="00AD6286" w:rsidRPr="00DA1136" w:rsidRDefault="00AD6286" w:rsidP="002C140C"/>
          <w:p w14:paraId="5A816C51" w14:textId="77777777" w:rsidR="00AD6286" w:rsidRPr="00DA1136" w:rsidRDefault="00AD6286" w:rsidP="002C140C"/>
          <w:p w14:paraId="32254208" w14:textId="77777777" w:rsidR="00AD6286" w:rsidRDefault="00AD6286" w:rsidP="002C140C"/>
          <w:p w14:paraId="5A63083E" w14:textId="77777777" w:rsidR="00EF695D" w:rsidRDefault="00EF695D" w:rsidP="002C140C"/>
          <w:p w14:paraId="24401C79" w14:textId="77777777" w:rsidR="00EF695D" w:rsidRPr="00DA1136" w:rsidRDefault="00EF695D" w:rsidP="002C140C"/>
          <w:p w14:paraId="4A9121A7" w14:textId="77777777" w:rsidR="00AD6286" w:rsidRPr="00DA1136" w:rsidRDefault="00AD6286" w:rsidP="002C140C"/>
          <w:p w14:paraId="3CC4D963" w14:textId="77777777" w:rsidR="002C140C" w:rsidRPr="00DA1136" w:rsidRDefault="002C140C" w:rsidP="002C140C">
            <w:r w:rsidRPr="00DA1136">
              <w:t>Se sugiere considerar que la cobertura se exija únicamente cuando exista un descalce en el flujo de caja proyectado en la moneda del pago de obligaciones a tres meses (o sea cuando los ingresos no cubran las salidas en el periodo de tres meses).</w:t>
            </w:r>
          </w:p>
          <w:p w14:paraId="66D47D02" w14:textId="77777777" w:rsidR="009B618C" w:rsidRPr="00DA1136" w:rsidRDefault="009B618C" w:rsidP="002C140C"/>
          <w:p w14:paraId="00CCB1F6" w14:textId="77777777" w:rsidR="002C140C" w:rsidRPr="00DA1136" w:rsidRDefault="002C140C" w:rsidP="002C140C">
            <w:r w:rsidRPr="00DA1136">
              <w:t xml:space="preserve">Se requiere aclarar si la cobertura solicitada es para el monto proyectado de pago de pensión, retiros y libre transferencia más la posición que sobrepase el 40% o si solo se requiere cubrir </w:t>
            </w:r>
            <w:r w:rsidRPr="00DA1136">
              <w:lastRenderedPageBreak/>
              <w:t>la diferencia sobre el 40%. (Aclarar si son excluyentes).</w:t>
            </w:r>
          </w:p>
          <w:p w14:paraId="47D3E3FD" w14:textId="77777777" w:rsidR="002C140C" w:rsidRPr="00DA1136" w:rsidRDefault="002C140C" w:rsidP="002C140C">
            <w:r w:rsidRPr="00DA1136">
              <w:t>En caso de ser excluyentes, se requiere que se aclare cuál es el plazo requerido para la cobertura sobre el exceso del 40%, además de aclarar la periodicidad con que se deben actualizar estas coberturas (Mensual. Trimestral, etc.)</w:t>
            </w:r>
          </w:p>
          <w:p w14:paraId="26DE2E8A" w14:textId="77777777" w:rsidR="002C140C" w:rsidRPr="00DA1136" w:rsidRDefault="002C140C" w:rsidP="002C140C">
            <w:r w:rsidRPr="00DA1136">
              <w:t>Ejemplo: al cierre de abril teníamos un 43% y en mayo cerramos la posición en moneda extranjera al 45%, el 2% que quedó descubierto ¿cuándo se debe incluir en una cobertura?</w:t>
            </w:r>
          </w:p>
          <w:p w14:paraId="34AC29F8" w14:textId="77777777" w:rsidR="00E13221" w:rsidRDefault="00E13221" w:rsidP="002C140C"/>
          <w:p w14:paraId="4BD2CDA9" w14:textId="77777777" w:rsidR="004540C0" w:rsidRDefault="004540C0" w:rsidP="002C140C"/>
          <w:p w14:paraId="71289991" w14:textId="77777777" w:rsidR="004540C0" w:rsidRPr="00DA1136" w:rsidRDefault="004540C0" w:rsidP="002C140C"/>
          <w:p w14:paraId="3D985353" w14:textId="77777777" w:rsidR="002C140C" w:rsidRPr="00DA1136" w:rsidRDefault="002C140C" w:rsidP="002C140C">
            <w:r w:rsidRPr="00DA1136">
              <w:t>Se requiere indicar si estas coberturas son para las operaciones nuevas o para el portafolio existente en la fecha de implementación.</w:t>
            </w:r>
          </w:p>
          <w:p w14:paraId="17C1768A" w14:textId="77777777" w:rsidR="00E05D9A" w:rsidRPr="00DA1136" w:rsidRDefault="00E05D9A" w:rsidP="002C140C"/>
          <w:p w14:paraId="73ED485F" w14:textId="77777777" w:rsidR="002C140C" w:rsidRPr="00DA1136" w:rsidRDefault="002C140C" w:rsidP="002C140C">
            <w:r w:rsidRPr="00DA1136">
              <w:t>Con respecto al principio de separación patrimonial de los Fondos se solicita aclarar si las coberturas se deben contratar por cada Fondo Administrado.</w:t>
            </w:r>
          </w:p>
          <w:p w14:paraId="70FE6636" w14:textId="77777777" w:rsidR="00AD69F2" w:rsidRPr="00DA1136" w:rsidRDefault="00AD69F2" w:rsidP="002C140C"/>
          <w:p w14:paraId="6AA40FA3" w14:textId="77777777" w:rsidR="002C140C" w:rsidRPr="00DA1136" w:rsidRDefault="002C140C" w:rsidP="002C140C">
            <w:r w:rsidRPr="00DA1136">
              <w:t xml:space="preserve">Se requiere indicar si las coberturas deben </w:t>
            </w:r>
            <w:r w:rsidRPr="00DA1136">
              <w:lastRenderedPageBreak/>
              <w:t>valorarse a precios de mercado.</w:t>
            </w:r>
          </w:p>
          <w:p w14:paraId="32F8E151" w14:textId="77777777" w:rsidR="002C140C" w:rsidRPr="00DA1136" w:rsidRDefault="002C140C" w:rsidP="002C140C">
            <w:r w:rsidRPr="00DA1136">
              <w:t>Se requiere indicar si las coberturas deberán someterse a estimación de pérdida crediticia.</w:t>
            </w:r>
          </w:p>
          <w:p w14:paraId="10E8B8FF" w14:textId="77777777" w:rsidR="002C140C" w:rsidRPr="00DA1136" w:rsidRDefault="002C140C" w:rsidP="002C140C"/>
          <w:p w14:paraId="4B0DB693" w14:textId="77777777" w:rsidR="00D422B8" w:rsidRPr="00DA1136" w:rsidRDefault="00D422B8" w:rsidP="002C140C"/>
          <w:p w14:paraId="6821F81F" w14:textId="77777777" w:rsidR="00D422B8" w:rsidRPr="00DA1136" w:rsidRDefault="00D422B8" w:rsidP="002C140C"/>
          <w:p w14:paraId="7A38AB7A" w14:textId="77777777" w:rsidR="00D422B8" w:rsidRPr="00DA1136" w:rsidRDefault="00D422B8" w:rsidP="002C140C"/>
          <w:p w14:paraId="6B176EF0" w14:textId="77777777" w:rsidR="00D422B8" w:rsidRPr="00DA1136" w:rsidRDefault="00D422B8" w:rsidP="002C140C"/>
          <w:p w14:paraId="7D07E4B2" w14:textId="77777777" w:rsidR="00D422B8" w:rsidRPr="00DA1136" w:rsidRDefault="00D422B8" w:rsidP="002C140C"/>
          <w:p w14:paraId="32DD7614" w14:textId="77777777" w:rsidR="00D422B8" w:rsidRPr="00DA1136" w:rsidRDefault="00D422B8" w:rsidP="002C140C"/>
          <w:p w14:paraId="7507A904" w14:textId="77777777" w:rsidR="00D422B8" w:rsidRPr="00DA1136" w:rsidRDefault="00D422B8" w:rsidP="002C140C"/>
          <w:p w14:paraId="41EBF0CB" w14:textId="77777777" w:rsidR="00D422B8" w:rsidRPr="00DA1136" w:rsidRDefault="00D422B8" w:rsidP="002C140C"/>
          <w:p w14:paraId="13817CC8" w14:textId="77777777" w:rsidR="00D422B8" w:rsidRPr="00DA1136" w:rsidRDefault="00D422B8" w:rsidP="002C140C"/>
          <w:p w14:paraId="699CC0BF" w14:textId="77777777" w:rsidR="00D422B8" w:rsidRPr="00DA1136" w:rsidRDefault="00D422B8" w:rsidP="002C140C"/>
          <w:p w14:paraId="3D9B5327" w14:textId="77777777" w:rsidR="00D422B8" w:rsidRPr="00DA1136" w:rsidRDefault="00D422B8" w:rsidP="002C140C"/>
          <w:p w14:paraId="0AD1CB00" w14:textId="77777777" w:rsidR="00D422B8" w:rsidRPr="00DA1136" w:rsidRDefault="00D422B8" w:rsidP="002C140C"/>
          <w:p w14:paraId="2D656B95" w14:textId="77777777" w:rsidR="002C140C" w:rsidRPr="00DA1136" w:rsidRDefault="002C140C" w:rsidP="002C140C">
            <w:r w:rsidRPr="00DA1136">
              <w:t>Se requiere aclarar los tipos de cobertura aceptados y si se permite utilizar la cobertura Forward (NDF) y Forward (FD) Full Delivery / Con entrega.</w:t>
            </w:r>
          </w:p>
          <w:p w14:paraId="26DD0FE4" w14:textId="77777777" w:rsidR="002C140C" w:rsidRPr="00DA1136" w:rsidRDefault="002C140C" w:rsidP="002C140C">
            <w:r w:rsidRPr="00DA1136">
              <w:t xml:space="preserve">En el caso de utilización de la cobertura por ejemplo con Forward (NDF) y la tasa spot (si estas son menores a la tasa pactada), se solicita aclarar a quién le corresponde asumir la diferencia resultante del tipo de cambio que se debe reconocer a la entidad que ofrece la cobertura. (aclarar si es la operadora o directamente el fondo). Debido a que la adquisición es onerosa y debería ser </w:t>
            </w:r>
            <w:r w:rsidRPr="00DA1136">
              <w:lastRenderedPageBreak/>
              <w:t>claro si los costos serán cubiertos por los rendimientos de los fondos.</w:t>
            </w:r>
          </w:p>
          <w:p w14:paraId="09B772BA" w14:textId="77777777" w:rsidR="002C140C" w:rsidRPr="00DA1136" w:rsidRDefault="002C140C" w:rsidP="002C140C"/>
          <w:p w14:paraId="5DB8F554" w14:textId="77777777" w:rsidR="001E17BF" w:rsidRPr="00DA1136" w:rsidRDefault="001E17BF" w:rsidP="002C140C"/>
          <w:p w14:paraId="1BA8745B" w14:textId="77777777" w:rsidR="001E17BF" w:rsidRPr="00DA1136" w:rsidRDefault="001E17BF" w:rsidP="002C140C"/>
          <w:p w14:paraId="28847C8F" w14:textId="77777777" w:rsidR="001E17BF" w:rsidRPr="00DA1136" w:rsidRDefault="001E17BF" w:rsidP="002C140C"/>
          <w:p w14:paraId="7DAB47F2" w14:textId="77777777" w:rsidR="001E17BF" w:rsidRPr="00DA1136" w:rsidRDefault="001E17BF" w:rsidP="002C140C"/>
          <w:p w14:paraId="2EF4127D" w14:textId="77777777" w:rsidR="001E17BF" w:rsidRPr="00DA1136" w:rsidRDefault="001E17BF" w:rsidP="002C140C"/>
          <w:p w14:paraId="64761DC0" w14:textId="77777777" w:rsidR="002C140C" w:rsidRPr="00DA1136" w:rsidRDefault="002C140C" w:rsidP="002C140C">
            <w:r w:rsidRPr="00DA1136">
              <w:t xml:space="preserve">Se sugiera aclarar que si en caso de que la operadora cubra los costos los mismos deben reconocerse en el margen que cobran y en el caso de si los mismos son a cuenta de los rendimientos, habrá un tema de transferencia de riqueza entre afiliados que reciben pensión, hacen retiros y se transfieren a otras OPC, desde el resto de los afiliados que, sin requerir la cobertura, la estarían pagando, por lo que se solicita aclarar </w:t>
            </w:r>
            <w:r w:rsidR="00282331" w:rsidRPr="00DA1136">
              <w:t>cómo</w:t>
            </w:r>
            <w:r w:rsidRPr="00DA1136">
              <w:t xml:space="preserve"> se gestionarán estos costos.</w:t>
            </w:r>
          </w:p>
          <w:p w14:paraId="22602E83" w14:textId="77777777" w:rsidR="008A25D3" w:rsidRPr="00DA1136" w:rsidRDefault="008A25D3" w:rsidP="002C140C"/>
          <w:p w14:paraId="5EE5104F" w14:textId="77777777" w:rsidR="002C140C" w:rsidRPr="00DA1136" w:rsidRDefault="002C140C" w:rsidP="002C140C">
            <w:r w:rsidRPr="00DA1136">
              <w:t>Se requiere se aclare si debe existir un único contrato maestro de operaciones derivadas por Fondo o se debe realizar por operación.</w:t>
            </w:r>
          </w:p>
          <w:p w14:paraId="14AF93CC" w14:textId="77777777" w:rsidR="002C140C" w:rsidRPr="00DA1136" w:rsidRDefault="002C140C" w:rsidP="002C140C"/>
          <w:p w14:paraId="2EC5BE92" w14:textId="77777777" w:rsidR="00DE79BC" w:rsidRPr="00DA1136" w:rsidRDefault="00DE79BC" w:rsidP="002C140C"/>
          <w:p w14:paraId="732CA91F" w14:textId="77777777" w:rsidR="00DE79BC" w:rsidRPr="00DA1136" w:rsidRDefault="00DE79BC" w:rsidP="002C140C"/>
          <w:p w14:paraId="13611269" w14:textId="77777777" w:rsidR="00DE79BC" w:rsidRPr="00DA1136" w:rsidRDefault="00DE79BC" w:rsidP="002C140C"/>
          <w:p w14:paraId="0E0BFB46" w14:textId="77777777" w:rsidR="00B70A81" w:rsidRPr="00DA1136" w:rsidRDefault="00B70A81" w:rsidP="002C140C"/>
          <w:p w14:paraId="7CB35796" w14:textId="77777777" w:rsidR="00B70A81" w:rsidRPr="00DA1136" w:rsidRDefault="00B70A81" w:rsidP="002C140C"/>
          <w:p w14:paraId="07340750" w14:textId="77777777" w:rsidR="00B70A81" w:rsidRPr="00DA1136" w:rsidRDefault="00B70A81" w:rsidP="002C140C"/>
          <w:p w14:paraId="7209383D" w14:textId="77777777" w:rsidR="00B70A81" w:rsidRPr="00DA1136" w:rsidRDefault="00B70A81" w:rsidP="002C140C"/>
          <w:p w14:paraId="66BF747E" w14:textId="77777777" w:rsidR="002C140C" w:rsidRPr="00DA1136" w:rsidRDefault="002C140C" w:rsidP="002C140C">
            <w:r w:rsidRPr="00DA1136">
              <w:t>Se solicita indicar si existe alguna limitación para reflejar el resultado de las coberturas en el resultado del período o en otros resultados integrales, o bien indicar si es válido mostrarlo en ambas opciones.</w:t>
            </w:r>
          </w:p>
          <w:p w14:paraId="59E4FB2F" w14:textId="77777777" w:rsidR="00DA2B1B" w:rsidRPr="00DA1136" w:rsidRDefault="00DA2B1B" w:rsidP="002C140C">
            <w:pPr>
              <w:rPr>
                <w:highlight w:val="yellow"/>
              </w:rPr>
            </w:pPr>
          </w:p>
          <w:p w14:paraId="40852C1E" w14:textId="77777777" w:rsidR="002C140C" w:rsidRPr="00DA1136" w:rsidRDefault="002C140C" w:rsidP="002C140C">
            <w:r w:rsidRPr="00DA1136">
              <w:t>Por favor aclarar para el caso que se debe remitir alguna información a la SUPEN, cuáles serían los plazos, la</w:t>
            </w:r>
            <w:r w:rsidR="00282331" w:rsidRPr="00DA1136">
              <w:t xml:space="preserve"> </w:t>
            </w:r>
            <w:r w:rsidRPr="00DA1136">
              <w:t>periodicidad y el tipo de información requerida.</w:t>
            </w:r>
          </w:p>
          <w:p w14:paraId="4FFA3FE8" w14:textId="77777777" w:rsidR="002C140C" w:rsidRPr="00DA1136" w:rsidRDefault="002C140C" w:rsidP="002C140C">
            <w:r w:rsidRPr="00DA1136">
              <w:t>Se sugier</w:t>
            </w:r>
            <w:r w:rsidR="004C6E51" w:rsidRPr="00DA1136">
              <w:t>e</w:t>
            </w:r>
            <w:r w:rsidRPr="00DA1136">
              <w:t xml:space="preserve"> considerar que, a nivel sistémico, podría no haber suficiente liquidez en el mercado local de coberturas para atender todas las exposiciones de los fondos de pensión.</w:t>
            </w:r>
          </w:p>
          <w:p w14:paraId="4E728C49" w14:textId="77777777" w:rsidR="008D42C9" w:rsidRPr="00DA1136" w:rsidRDefault="008D42C9" w:rsidP="002C140C"/>
          <w:p w14:paraId="1B7CA0AB" w14:textId="77777777" w:rsidR="002C140C" w:rsidRPr="00DA1136" w:rsidRDefault="002C140C" w:rsidP="002C140C">
            <w:r w:rsidRPr="00DA1136">
              <w:t>Se considera relevante que la SUPEN exponga un ejercicio que refleje cuánto le va a costar al pensionado esta regulación, refiriéndose al monto menos de pensión que se proyecte que le toque a cada pensionado.</w:t>
            </w:r>
          </w:p>
          <w:p w14:paraId="172C72ED" w14:textId="77777777" w:rsidR="0021446E" w:rsidRPr="00DA1136" w:rsidRDefault="0021446E" w:rsidP="002C140C"/>
          <w:p w14:paraId="1F41A76C" w14:textId="77777777" w:rsidR="002C140C" w:rsidRPr="00DA1136" w:rsidRDefault="002C140C" w:rsidP="002C140C">
            <w:r w:rsidRPr="00DA1136">
              <w:t xml:space="preserve">Se requiere indicar si la limitación del 40% es por Fondo, o por el total de Fondos de </w:t>
            </w:r>
            <w:r w:rsidRPr="00DA1136">
              <w:lastRenderedPageBreak/>
              <w:t>pensiones denominados en colones y administrados por la OPC.</w:t>
            </w:r>
          </w:p>
          <w:p w14:paraId="34C08BFD" w14:textId="77777777" w:rsidR="002C140C" w:rsidRPr="00DA1136" w:rsidRDefault="002C140C" w:rsidP="002C140C"/>
          <w:p w14:paraId="59C733C3" w14:textId="77777777" w:rsidR="002C140C" w:rsidRPr="00DA1136" w:rsidRDefault="002C140C" w:rsidP="002C140C">
            <w:r w:rsidRPr="00DA1136">
              <w:t>Se solicita aclarar si el concepto del “valor del activo” se refiere al activo total del Fondo.</w:t>
            </w:r>
          </w:p>
          <w:p w14:paraId="4A19AB49" w14:textId="77777777" w:rsidR="00E14C55" w:rsidRPr="00DA1136" w:rsidRDefault="00E14C55" w:rsidP="002C140C"/>
          <w:p w14:paraId="55CCFB7D" w14:textId="77777777" w:rsidR="002C140C" w:rsidRPr="00DA1136" w:rsidRDefault="002C140C" w:rsidP="002C140C">
            <w:r w:rsidRPr="00DA1136">
              <w:t>Se interpreta que el porcentaje de 40% correspondería a la suma de lo necesario para cubrir pensiones, retiros y traslados, más el resto del monto administrado. Siendo así, se sigue en la interpretación que las coberturas que se hagan sobre ese exceso se deben hacer también con plazo de tres meses. ¿Son estas interpretaciones correctas?</w:t>
            </w:r>
          </w:p>
          <w:p w14:paraId="33D8E0CC" w14:textId="77777777" w:rsidR="00F31F40" w:rsidRPr="00DA1136" w:rsidRDefault="00F31F40" w:rsidP="002C140C"/>
          <w:p w14:paraId="2234CBA7" w14:textId="77777777" w:rsidR="002C140C" w:rsidRPr="00DA1136" w:rsidRDefault="002C140C" w:rsidP="002C140C">
            <w:r w:rsidRPr="00DA1136">
              <w:t>Se solicita indicar si existe alguna consideración en particular que se debe considerar para los Fondos de Pensión creados por Ley especial.</w:t>
            </w:r>
          </w:p>
          <w:p w14:paraId="5E757B77" w14:textId="77777777" w:rsidR="006660B0" w:rsidRPr="00DA1136" w:rsidRDefault="006660B0" w:rsidP="002C140C"/>
          <w:p w14:paraId="5C0E6E1A" w14:textId="77777777" w:rsidR="006660B0" w:rsidRPr="00DA1136" w:rsidRDefault="006660B0" w:rsidP="002C140C">
            <w:pPr>
              <w:rPr>
                <w:b/>
                <w:bCs/>
              </w:rPr>
            </w:pPr>
            <w:r w:rsidRPr="00DA1136">
              <w:rPr>
                <w:b/>
                <w:bCs/>
              </w:rPr>
              <w:t>CCSS, OPC</w:t>
            </w:r>
          </w:p>
          <w:p w14:paraId="30A2CE89" w14:textId="77777777" w:rsidR="006660B0" w:rsidRPr="00DA1136" w:rsidRDefault="006660B0" w:rsidP="006660B0">
            <w:r w:rsidRPr="00DA1136">
              <w:t xml:space="preserve">La moneda extranjera es utilizada como un mecanismo de cobertura ante riesgos de precio y riesgos de concentración; según lo evidencia la historia en casos de crisis de </w:t>
            </w:r>
          </w:p>
          <w:p w14:paraId="70DA379B" w14:textId="77777777" w:rsidR="006660B0" w:rsidRPr="00DA1136" w:rsidRDefault="006660B0" w:rsidP="006660B0">
            <w:r w:rsidRPr="00DA1136">
              <w:lastRenderedPageBreak/>
              <w:t>crédito, como el de Argentina, la</w:t>
            </w:r>
            <w:r w:rsidR="00100FAC" w:rsidRPr="00DA1136">
              <w:t xml:space="preserve"> </w:t>
            </w:r>
            <w:r w:rsidRPr="00DA1136">
              <w:t>exposición a moneda extranjera ha</w:t>
            </w:r>
            <w:r w:rsidR="00100FAC" w:rsidRPr="00DA1136">
              <w:t xml:space="preserve"> </w:t>
            </w:r>
            <w:r w:rsidRPr="00DA1136">
              <w:t xml:space="preserve">funcionado como </w:t>
            </w:r>
          </w:p>
          <w:p w14:paraId="7E942D57" w14:textId="77777777" w:rsidR="006660B0" w:rsidRPr="00DA1136" w:rsidRDefault="006660B0" w:rsidP="006660B0">
            <w:r w:rsidRPr="00DA1136">
              <w:t xml:space="preserve">cobertura para mitigar estos riesgos; al incluir coberturas sobre moneda estaríamos </w:t>
            </w:r>
          </w:p>
          <w:p w14:paraId="159C6283" w14:textId="77777777" w:rsidR="006660B0" w:rsidRPr="00DA1136" w:rsidRDefault="006660B0" w:rsidP="006660B0">
            <w:r w:rsidRPr="00DA1136">
              <w:t>implementado una cobertura sobre otra cobertura en sí</w:t>
            </w:r>
            <w:r w:rsidR="00100FAC" w:rsidRPr="00DA1136">
              <w:t xml:space="preserve"> </w:t>
            </w:r>
            <w:r w:rsidRPr="00DA1136">
              <w:t xml:space="preserve">misma, lo cual no estaría generando el valor que se busca, pues ya inicialmente incluyendo la diversificación </w:t>
            </w:r>
          </w:p>
          <w:p w14:paraId="2B7BF177" w14:textId="77777777" w:rsidR="006660B0" w:rsidRPr="00DA1136" w:rsidRDefault="006660B0" w:rsidP="006660B0">
            <w:r w:rsidRPr="00DA1136">
              <w:t>por moneda se está atendiendo este riesgo.</w:t>
            </w:r>
          </w:p>
          <w:p w14:paraId="4CEB2CB5" w14:textId="77777777" w:rsidR="00221B04" w:rsidRPr="00DA1136" w:rsidRDefault="00221B04" w:rsidP="006660B0">
            <w:pPr>
              <w:rPr>
                <w:b/>
                <w:bCs/>
              </w:rPr>
            </w:pPr>
          </w:p>
          <w:p w14:paraId="751F0AB8" w14:textId="77777777" w:rsidR="00221B04" w:rsidRPr="00DA1136" w:rsidRDefault="007B6575" w:rsidP="006660B0">
            <w:pPr>
              <w:rPr>
                <w:b/>
                <w:bCs/>
              </w:rPr>
            </w:pPr>
            <w:r w:rsidRPr="00DA1136">
              <w:rPr>
                <w:b/>
                <w:bCs/>
              </w:rPr>
              <w:t>Popular, OPC</w:t>
            </w:r>
          </w:p>
          <w:p w14:paraId="42EB356C" w14:textId="77777777" w:rsidR="007B6575" w:rsidRPr="00DA1136" w:rsidRDefault="007B6575" w:rsidP="007B6575">
            <w:r w:rsidRPr="00DA1136">
              <w:t xml:space="preserve">1. </w:t>
            </w:r>
            <w:r w:rsidRPr="00DA1136">
              <w:rPr>
                <w:b/>
                <w:bCs/>
              </w:rPr>
              <w:t>Mercado inexistente de coberturas.</w:t>
            </w:r>
          </w:p>
          <w:p w14:paraId="546D3E62" w14:textId="77777777" w:rsidR="007B6575" w:rsidRPr="00DA1136" w:rsidRDefault="007B6575" w:rsidP="007B6575">
            <w:r w:rsidRPr="00DA1136">
              <w:t xml:space="preserve">El volumen negociado en Costa Rica de coberturas y participantes es mínimo, dicho mercado </w:t>
            </w:r>
          </w:p>
          <w:p w14:paraId="7DFF20BF" w14:textId="77777777" w:rsidR="007B6575" w:rsidRPr="00DA1136" w:rsidRDefault="007B6575" w:rsidP="007B6575">
            <w:r w:rsidRPr="00DA1136">
              <w:t xml:space="preserve">actualmente no puede satisfacer las necesidades de las Operadoras de Pensiones, esto en función del </w:t>
            </w:r>
          </w:p>
          <w:p w14:paraId="3F9835D9" w14:textId="77777777" w:rsidR="007B6575" w:rsidRPr="00DA1136" w:rsidRDefault="007B6575" w:rsidP="007B6575">
            <w:r w:rsidRPr="00DA1136">
              <w:t xml:space="preserve">crecimiento de la industria, las pocas opciones de inversión que limitan brindarle a los afiliados una </w:t>
            </w:r>
          </w:p>
          <w:p w14:paraId="4D56A66A" w14:textId="77777777" w:rsidR="007B6575" w:rsidRPr="00DA1136" w:rsidRDefault="007B6575" w:rsidP="007B6575">
            <w:r w:rsidRPr="00DA1136">
              <w:t xml:space="preserve">sana diversificación y recursos aceptables para su proceso de jubilación. Aunado a lo anterior, el </w:t>
            </w:r>
          </w:p>
          <w:p w14:paraId="103B0F85" w14:textId="77777777" w:rsidR="007B6575" w:rsidRPr="00DA1136" w:rsidRDefault="007B6575" w:rsidP="007B6575">
            <w:r w:rsidRPr="00DA1136">
              <w:lastRenderedPageBreak/>
              <w:t xml:space="preserve">mercado spot no presenta saldos relevantes en su negociación, lo cual limita el efecto de la </w:t>
            </w:r>
          </w:p>
          <w:p w14:paraId="44CF2115" w14:textId="77777777" w:rsidR="007B6575" w:rsidRPr="00DA1136" w:rsidRDefault="007B6575" w:rsidP="007B6575">
            <w:r w:rsidRPr="00DA1136">
              <w:t xml:space="preserve">cobertura o expone al mercado a niveles de estrés elevados, situación que, a nuestro entender, fue </w:t>
            </w:r>
          </w:p>
          <w:p w14:paraId="5934EC35" w14:textId="77777777" w:rsidR="007B6575" w:rsidRPr="00DA1136" w:rsidRDefault="007B6575" w:rsidP="007B6575">
            <w:r w:rsidRPr="00DA1136">
              <w:t>analizada por el CONASSIF.</w:t>
            </w:r>
          </w:p>
          <w:p w14:paraId="5E569554" w14:textId="77777777" w:rsidR="007B6575" w:rsidRPr="00DA1136" w:rsidRDefault="007B6575" w:rsidP="007B6575">
            <w:r w:rsidRPr="00DA1136">
              <w:t>Desde la perspectiva de regulación SUGEF 9-20, que establece los montos máximos destinados a un mismo cliente al 10% del capital y reservas del intermediario, en el caso del</w:t>
            </w:r>
            <w:r w:rsidR="00172E47" w:rsidRPr="00DA1136">
              <w:t xml:space="preserve"> </w:t>
            </w:r>
            <w:r w:rsidRPr="00DA1136">
              <w:t>Reglamento de Operaciones Cambiarias de Contado, limitan la posición de los bancos hasta +3% o hasta -3% del valor del capital base expresado en dólares, limitantes que deberán de eliminarse, en caso de una posible implementación.</w:t>
            </w:r>
          </w:p>
          <w:p w14:paraId="3AAB9CD2" w14:textId="77777777" w:rsidR="00C00E24" w:rsidRPr="00DA1136" w:rsidRDefault="007B6575" w:rsidP="00C00E24">
            <w:r w:rsidRPr="00DA1136">
              <w:t>En cuanto al proceso de forward, se utiliza como referencia el precio y volumen de las transacciones en el mercado a hoy, lo cual limita que las</w:t>
            </w:r>
            <w:r w:rsidR="00705FCB" w:rsidRPr="00DA1136">
              <w:t xml:space="preserve"> </w:t>
            </w:r>
            <w:r w:rsidRPr="00DA1136">
              <w:t>condiciones</w:t>
            </w:r>
            <w:r w:rsidR="00172E47" w:rsidRPr="00DA1136">
              <w:t xml:space="preserve"> </w:t>
            </w:r>
            <w:r w:rsidRPr="00DA1136">
              <w:t xml:space="preserve">establecidas para que pueda </w:t>
            </w:r>
            <w:r w:rsidR="00C00E24" w:rsidRPr="00DA1136">
              <w:t xml:space="preserve">ser concretada o traslada a los afiliados la cobertura en cantidades necesarias por las </w:t>
            </w:r>
            <w:r w:rsidR="00C00E24" w:rsidRPr="00DA1136">
              <w:lastRenderedPageBreak/>
              <w:t>operadoras de pensiones.</w:t>
            </w:r>
          </w:p>
          <w:p w14:paraId="64ABEDF1" w14:textId="77777777" w:rsidR="00C00E24" w:rsidRPr="00DA1136" w:rsidRDefault="00C00E24" w:rsidP="00C00E24">
            <w:r w:rsidRPr="00DA1136">
              <w:t>En lo que respecta a diferenciales</w:t>
            </w:r>
            <w:r w:rsidR="00705FCB" w:rsidRPr="00DA1136">
              <w:t xml:space="preserve"> </w:t>
            </w:r>
            <w:r w:rsidRPr="00DA1136">
              <w:t xml:space="preserve">cambiarios, las referencias en promedio según información </w:t>
            </w:r>
          </w:p>
          <w:p w14:paraId="32D42598" w14:textId="77777777" w:rsidR="00C00E24" w:rsidRPr="00DA1136" w:rsidRDefault="00C00E24" w:rsidP="00C00E24">
            <w:r w:rsidRPr="00DA1136">
              <w:t xml:space="preserve">publicada por el BCCR rondan los ¢15.17 por dólar, lo cual se encuentra relacionado a los altos </w:t>
            </w:r>
          </w:p>
          <w:p w14:paraId="0FB31967" w14:textId="77777777" w:rsidR="00C00E24" w:rsidRPr="00DA1136" w:rsidRDefault="00C00E24" w:rsidP="00C00E24">
            <w:r w:rsidRPr="00DA1136">
              <w:t xml:space="preserve">costos transaccionales establecidos por la autoridad monetaria, tanto en procesos de concretar </w:t>
            </w:r>
          </w:p>
          <w:p w14:paraId="64E24E72" w14:textId="77777777" w:rsidR="00C00E24" w:rsidRPr="00DA1136" w:rsidRDefault="00C00E24" w:rsidP="00C00E24">
            <w:r w:rsidRPr="00DA1136">
              <w:t xml:space="preserve">operaciones en el mercado mayorista, como el cobro de comisiones del 25% sobre las ganancias </w:t>
            </w:r>
          </w:p>
          <w:p w14:paraId="58E856EF" w14:textId="77777777" w:rsidR="00C00E24" w:rsidRPr="00DA1136" w:rsidRDefault="00C00E24" w:rsidP="00C00E24">
            <w:r w:rsidRPr="00DA1136">
              <w:t xml:space="preserve">cambiarias de los intermediarios, situación que genera mayor presión a este, formación de precios </w:t>
            </w:r>
          </w:p>
          <w:p w14:paraId="645C01C3" w14:textId="77777777" w:rsidR="00C00E24" w:rsidRPr="00DA1136" w:rsidRDefault="00C00E24" w:rsidP="00C00E24">
            <w:r w:rsidRPr="00DA1136">
              <w:t>que debería de atacarse y ajustarse antes de generar la obligatoriedad del uso de coberturas.</w:t>
            </w:r>
          </w:p>
          <w:p w14:paraId="38BC881B" w14:textId="77777777" w:rsidR="00172E47" w:rsidRPr="00DA1136" w:rsidRDefault="00172E47" w:rsidP="00C00E24"/>
          <w:p w14:paraId="33BE4DB9" w14:textId="77777777" w:rsidR="00C00E24" w:rsidRPr="00DA1136" w:rsidRDefault="00C00E24" w:rsidP="00C00E24">
            <w:pPr>
              <w:rPr>
                <w:b/>
                <w:bCs/>
              </w:rPr>
            </w:pPr>
            <w:r w:rsidRPr="00DA1136">
              <w:rPr>
                <w:b/>
                <w:bCs/>
              </w:rPr>
              <w:t>2. Costos y comisiones</w:t>
            </w:r>
          </w:p>
          <w:p w14:paraId="26B88AD9" w14:textId="77777777" w:rsidR="00C00E24" w:rsidRPr="00DA1136" w:rsidRDefault="00C00E24" w:rsidP="00C00E24">
            <w:r w:rsidRPr="00DA1136">
              <w:t xml:space="preserve">Tanto esta consulta como los planteamientos realizados por la autoridad monetaria sobre la </w:t>
            </w:r>
          </w:p>
          <w:p w14:paraId="10B37C1B" w14:textId="77777777" w:rsidR="00C00E24" w:rsidRPr="00DA1136" w:rsidRDefault="00C00E24" w:rsidP="00C00E24">
            <w:r w:rsidRPr="00DA1136">
              <w:t xml:space="preserve">utilización del MONEX para adquirir divisas por parte de las operadoras de pensiones, corresponde </w:t>
            </w:r>
          </w:p>
          <w:p w14:paraId="50ACC00B" w14:textId="77777777" w:rsidR="00C00E24" w:rsidRPr="00DA1136" w:rsidRDefault="00C00E24" w:rsidP="00C00E24">
            <w:r w:rsidRPr="00DA1136">
              <w:lastRenderedPageBreak/>
              <w:t xml:space="preserve">a una creación de comisiones implícitas para los afiliados, mismas que van en detrimento de sus </w:t>
            </w:r>
          </w:p>
          <w:p w14:paraId="0E505498" w14:textId="77777777" w:rsidR="00C00E24" w:rsidRPr="00DA1136" w:rsidRDefault="00C00E24" w:rsidP="00C00E24">
            <w:r w:rsidRPr="00DA1136">
              <w:t xml:space="preserve">beneficios. Los costos transaccionales limitaran en gran medida las posibles ganancias futuras, así </w:t>
            </w:r>
          </w:p>
          <w:p w14:paraId="3ACA0297" w14:textId="77777777" w:rsidR="00C00E24" w:rsidRPr="00DA1136" w:rsidRDefault="00C00E24" w:rsidP="00C00E24">
            <w:r w:rsidRPr="00DA1136">
              <w:t xml:space="preserve">como de una forma marginal en función de la posición sobre las posibles pérdidas, por lo cual es de </w:t>
            </w:r>
          </w:p>
          <w:p w14:paraId="72D23D9C" w14:textId="77777777" w:rsidR="00C00E24" w:rsidRPr="00DA1136" w:rsidRDefault="00C00E24" w:rsidP="00C00E24">
            <w:r w:rsidRPr="00DA1136">
              <w:t>nuestro interés, en lo que respecta al nivel impuesto del 40%, sobre el cual se requerirá contratar</w:t>
            </w:r>
          </w:p>
          <w:p w14:paraId="069272F3" w14:textId="77777777" w:rsidR="00C00E24" w:rsidRPr="00DA1136" w:rsidRDefault="00C00E24" w:rsidP="00C00E24">
            <w:r w:rsidRPr="00DA1136">
              <w:t xml:space="preserve">coberturas entender, ¿Cómo se determinó este nivel?, ¿Qué elementos técnicos se consideraron? </w:t>
            </w:r>
          </w:p>
          <w:p w14:paraId="3B508FB2" w14:textId="77777777" w:rsidR="00C00E24" w:rsidRPr="00DA1136" w:rsidRDefault="00C00E24" w:rsidP="00C00E24">
            <w:r w:rsidRPr="00DA1136">
              <w:t xml:space="preserve">¿Cuál fue el proceso de optimización realizado? Así como ¿Qué efectos se esperan sobre esta </w:t>
            </w:r>
          </w:p>
          <w:p w14:paraId="1CA57B14" w14:textId="77777777" w:rsidR="00C00E24" w:rsidRPr="00DA1136" w:rsidRDefault="00C00E24" w:rsidP="00C00E24">
            <w:r w:rsidRPr="00DA1136">
              <w:t xml:space="preserve">limitante?, todo lo anterior a fin de analizar las consideraciones realizadas y determinar si las </w:t>
            </w:r>
          </w:p>
          <w:p w14:paraId="136F78D3" w14:textId="77777777" w:rsidR="00C00E24" w:rsidRPr="00DA1136" w:rsidRDefault="00C00E24" w:rsidP="00C00E24">
            <w:r w:rsidRPr="00DA1136">
              <w:t>mismas son implementadas en función de los afiliados y la</w:t>
            </w:r>
            <w:r w:rsidR="001F2CF3" w:rsidRPr="00DA1136">
              <w:t xml:space="preserve"> </w:t>
            </w:r>
            <w:r w:rsidRPr="00DA1136">
              <w:t xml:space="preserve">legislación vigente, así como cualquier </w:t>
            </w:r>
          </w:p>
          <w:p w14:paraId="367ADFDD" w14:textId="77777777" w:rsidR="00C00E24" w:rsidRPr="00DA1136" w:rsidRDefault="00C00E24" w:rsidP="00C00E24">
            <w:r w:rsidRPr="00DA1136">
              <w:t>análisis realizado por la Superintendencia de Pensiones, en función de su misión - visión.</w:t>
            </w:r>
          </w:p>
          <w:p w14:paraId="22EAF761" w14:textId="77777777" w:rsidR="00C00E24" w:rsidRPr="00DA1136" w:rsidRDefault="00C00E24" w:rsidP="00C00E24">
            <w:r w:rsidRPr="00DA1136">
              <w:lastRenderedPageBreak/>
              <w:t>El desarrollo de un mercado de coberturas cambiarias no debería de ser implementado con cargo a los afiliados de las operadoras de pensiones, de lo contrario su impulso e implementación deberá de ser gestado por la autoridad que lo considere prudente. Tal como se expresó en el primer párrafo,</w:t>
            </w:r>
          </w:p>
          <w:p w14:paraId="2B2112C4" w14:textId="77777777" w:rsidR="00C00E24" w:rsidRPr="00DA1136" w:rsidRDefault="00C00E24" w:rsidP="00C00E24">
            <w:r w:rsidRPr="00DA1136">
              <w:t xml:space="preserve">las decisiones que se tomen deben de estar orientadas a generar los instrumentos necesarios del </w:t>
            </w:r>
          </w:p>
          <w:p w14:paraId="2ED9AA78" w14:textId="77777777" w:rsidR="00C00E24" w:rsidRPr="00DA1136" w:rsidRDefault="00C00E24" w:rsidP="00C00E24">
            <w:r w:rsidRPr="00DA1136">
              <w:t>mercado, el desarrollo de estos en etapas iniciales, por lo general, se consideran muy onerosos,</w:t>
            </w:r>
          </w:p>
          <w:p w14:paraId="6F6D7916" w14:textId="77777777" w:rsidR="00FB3662" w:rsidRPr="00DA1136" w:rsidRDefault="00C00E24" w:rsidP="00FB3662">
            <w:r w:rsidRPr="00DA1136">
              <w:t>situación que deberá de analizarse ya que se generaría en detrimento de los afiliados</w:t>
            </w:r>
            <w:r w:rsidR="001F2CF3" w:rsidRPr="00DA1136">
              <w:t>.</w:t>
            </w:r>
          </w:p>
          <w:p w14:paraId="55CB235F" w14:textId="77777777" w:rsidR="005B1F60" w:rsidRPr="00DA1136" w:rsidRDefault="005B1F60" w:rsidP="00FB3662"/>
          <w:p w14:paraId="6D18E061" w14:textId="77777777" w:rsidR="00FB3662" w:rsidRPr="00DA1136" w:rsidRDefault="00FB3662" w:rsidP="00FB3662">
            <w:pPr>
              <w:rPr>
                <w:b/>
                <w:bCs/>
              </w:rPr>
            </w:pPr>
            <w:r w:rsidRPr="00DA1136">
              <w:rPr>
                <w:b/>
                <w:bCs/>
              </w:rPr>
              <w:t>3. Implicaciones y decisiones.</w:t>
            </w:r>
          </w:p>
          <w:p w14:paraId="6E64E684" w14:textId="77777777" w:rsidR="00FB3662" w:rsidRPr="00DA1136" w:rsidRDefault="00FB3662" w:rsidP="00FB3662">
            <w:r w:rsidRPr="00DA1136">
              <w:t xml:space="preserve">La modificación del porcentaje de inversiones en el sector público al 60%, así como la limitante de requerir coberturas sobre montos superiores al 40% de dolarización, mismas que son prohibitivas, </w:t>
            </w:r>
          </w:p>
          <w:p w14:paraId="2FEC4AC5" w14:textId="77777777" w:rsidR="00FB3662" w:rsidRPr="00DA1136" w:rsidRDefault="00FB3662" w:rsidP="00FB3662">
            <w:r w:rsidRPr="00DA1136">
              <w:t xml:space="preserve">podría generar para una industria de pensiones, que realiza y ha realizado su labor de forma diligente </w:t>
            </w:r>
            <w:r w:rsidRPr="00DA1136">
              <w:lastRenderedPageBreak/>
              <w:t xml:space="preserve">apegada a la regulación y de forma técnica ante las condiciones del mercado, una burbuja </w:t>
            </w:r>
          </w:p>
          <w:p w14:paraId="16FD21F0" w14:textId="77777777" w:rsidR="00FB3662" w:rsidRPr="00DA1136" w:rsidRDefault="00FB3662" w:rsidP="00FB3662">
            <w:r w:rsidRPr="00DA1136">
              <w:t>de liquidez local por las restricciones impuestas,</w:t>
            </w:r>
            <w:r w:rsidR="00FB0462" w:rsidRPr="00DA1136">
              <w:t xml:space="preserve"> </w:t>
            </w:r>
            <w:r w:rsidRPr="00DA1136">
              <w:t>provocando condiciones adversas en el mercado local, en la cual el regulado genera compras no en función de</w:t>
            </w:r>
            <w:r w:rsidR="00FB0462" w:rsidRPr="00DA1136">
              <w:t xml:space="preserve"> </w:t>
            </w:r>
            <w:r w:rsidRPr="00DA1136">
              <w:t xml:space="preserve">fundamentales económicos sino por </w:t>
            </w:r>
          </w:p>
          <w:p w14:paraId="080BBAC6" w14:textId="77777777" w:rsidR="00FB3662" w:rsidRPr="00DA1136" w:rsidRDefault="00FB3662" w:rsidP="00FB3662">
            <w:r w:rsidRPr="00DA1136">
              <w:t>un tema de solución de esquina, con la premisa ingenua de que es lo que existe hay que comprarlo,</w:t>
            </w:r>
          </w:p>
          <w:p w14:paraId="4508F574" w14:textId="77777777" w:rsidR="003C6992" w:rsidRPr="00DA1136" w:rsidRDefault="00FB3662" w:rsidP="00694840">
            <w:r w:rsidRPr="00DA1136">
              <w:t>sin evaluar si esto corresponde a una inversión favorable o no para los clientes</w:t>
            </w:r>
            <w:r w:rsidR="00CC26BB" w:rsidRPr="00DA1136">
              <w:t>.</w:t>
            </w:r>
          </w:p>
          <w:p w14:paraId="03BD2D79" w14:textId="77777777" w:rsidR="003C6992" w:rsidRPr="00DA1136" w:rsidRDefault="003C6992" w:rsidP="00694840"/>
          <w:p w14:paraId="0B8635A1" w14:textId="77777777" w:rsidR="00694840" w:rsidRPr="00DA1136" w:rsidRDefault="00DD3F18" w:rsidP="00694840">
            <w:r w:rsidRPr="00DA1136">
              <w:rPr>
                <w:b/>
                <w:bCs/>
              </w:rPr>
              <w:t xml:space="preserve">4. </w:t>
            </w:r>
            <w:r w:rsidR="00694840" w:rsidRPr="00DA1136">
              <w:rPr>
                <w:b/>
                <w:bCs/>
              </w:rPr>
              <w:t>Costos imputables</w:t>
            </w:r>
          </w:p>
          <w:p w14:paraId="36C41D95" w14:textId="77777777" w:rsidR="00694840" w:rsidRPr="00DA1136" w:rsidRDefault="00694840" w:rsidP="00694840">
            <w:r w:rsidRPr="00DA1136">
              <w:t xml:space="preserve">Lo indicado en el artículo 63 del Reglamento de Gestión de Activos, dicta los costos imputables a </w:t>
            </w:r>
          </w:p>
          <w:p w14:paraId="1CAFAA88" w14:textId="77777777" w:rsidR="008D2CC0" w:rsidRPr="00DA1136" w:rsidRDefault="00694840" w:rsidP="00694840">
            <w:r w:rsidRPr="00DA1136">
              <w:t>los fondos</w:t>
            </w:r>
            <w:r w:rsidR="00FB0462" w:rsidRPr="00DA1136">
              <w:t xml:space="preserve"> </w:t>
            </w:r>
            <w:r w:rsidRPr="00DA1136">
              <w:t>administrados, por lo cual es de relevancia aclarar a quien son atribuibles cualquier costo generado por la adquisición de las coberturas</w:t>
            </w:r>
            <w:r w:rsidR="00FB0462" w:rsidRPr="00DA1136">
              <w:t xml:space="preserve"> </w:t>
            </w:r>
            <w:r w:rsidRPr="00DA1136">
              <w:t>cambiarias.</w:t>
            </w:r>
          </w:p>
          <w:p w14:paraId="1A2DEF3C" w14:textId="77777777" w:rsidR="00FB0462" w:rsidRPr="00DA1136" w:rsidRDefault="00FB0462" w:rsidP="00694840"/>
          <w:p w14:paraId="6F3FA3BD" w14:textId="77777777" w:rsidR="00E306BA" w:rsidRPr="00DA1136" w:rsidRDefault="00E306BA" w:rsidP="00694840"/>
          <w:p w14:paraId="77798CC8" w14:textId="77777777" w:rsidR="00E306BA" w:rsidRPr="00DA1136" w:rsidRDefault="00E306BA" w:rsidP="00694840"/>
          <w:p w14:paraId="0D1AD011" w14:textId="77777777" w:rsidR="00E306BA" w:rsidRPr="00DA1136" w:rsidRDefault="00E306BA" w:rsidP="00694840"/>
          <w:p w14:paraId="58ACD5F2" w14:textId="77777777" w:rsidR="00E306BA" w:rsidRPr="00DA1136" w:rsidRDefault="00E306BA" w:rsidP="00694840"/>
          <w:p w14:paraId="79988079" w14:textId="77777777" w:rsidR="00E306BA" w:rsidRPr="00DA1136" w:rsidRDefault="00E306BA" w:rsidP="00694840"/>
          <w:p w14:paraId="6A85A0CF" w14:textId="77777777" w:rsidR="00E306BA" w:rsidRPr="00DA1136" w:rsidRDefault="00E306BA" w:rsidP="00694840"/>
          <w:p w14:paraId="237712F9" w14:textId="77777777" w:rsidR="00E306BA" w:rsidRPr="00DA1136" w:rsidRDefault="00E306BA" w:rsidP="00694840"/>
          <w:p w14:paraId="2A1F91E8" w14:textId="77777777" w:rsidR="00E306BA" w:rsidRPr="00DA1136" w:rsidRDefault="00E306BA" w:rsidP="00694840"/>
          <w:p w14:paraId="182D34A5" w14:textId="77777777" w:rsidR="00E306BA" w:rsidRPr="00DA1136" w:rsidRDefault="00E306BA" w:rsidP="00694840"/>
          <w:p w14:paraId="19495CBC" w14:textId="77777777" w:rsidR="00E306BA" w:rsidRPr="00DA1136" w:rsidRDefault="00E306BA" w:rsidP="00694840"/>
          <w:p w14:paraId="2E775404" w14:textId="77777777" w:rsidR="00E306BA" w:rsidRPr="00DA1136" w:rsidRDefault="00E306BA" w:rsidP="00694840"/>
          <w:p w14:paraId="32DEEE60" w14:textId="77777777" w:rsidR="00E306BA" w:rsidRPr="00DA1136" w:rsidRDefault="00E306BA" w:rsidP="00694840"/>
          <w:p w14:paraId="2D6BB94F" w14:textId="77777777" w:rsidR="00E306BA" w:rsidRPr="00DA1136" w:rsidRDefault="00E306BA" w:rsidP="00694840"/>
          <w:p w14:paraId="18B0DCC6" w14:textId="77777777" w:rsidR="00E306BA" w:rsidRPr="00DA1136" w:rsidRDefault="00E306BA" w:rsidP="00694840"/>
          <w:p w14:paraId="54125FEF" w14:textId="77777777" w:rsidR="00E306BA" w:rsidRPr="00DA1136" w:rsidRDefault="00E306BA" w:rsidP="00694840"/>
          <w:p w14:paraId="5FF74304" w14:textId="77777777" w:rsidR="00E306BA" w:rsidRPr="00DA1136" w:rsidRDefault="00E306BA" w:rsidP="00694840"/>
          <w:p w14:paraId="2BD2DF93" w14:textId="77777777" w:rsidR="00E306BA" w:rsidRPr="00DA1136" w:rsidRDefault="00E306BA" w:rsidP="00694840"/>
          <w:p w14:paraId="53D7CC30" w14:textId="77777777" w:rsidR="00E306BA" w:rsidRPr="00DA1136" w:rsidRDefault="00E306BA" w:rsidP="00694840"/>
          <w:p w14:paraId="18C139B6" w14:textId="77777777" w:rsidR="00E306BA" w:rsidRPr="00DA1136" w:rsidRDefault="00E306BA" w:rsidP="00694840"/>
          <w:p w14:paraId="47CFC0A7" w14:textId="77777777" w:rsidR="00E306BA" w:rsidRPr="00DA1136" w:rsidRDefault="00E306BA" w:rsidP="00694840"/>
          <w:p w14:paraId="081E8FBA" w14:textId="77777777" w:rsidR="00E306BA" w:rsidRPr="00DA1136" w:rsidRDefault="00E306BA" w:rsidP="00694840"/>
          <w:p w14:paraId="177C89DF" w14:textId="77777777" w:rsidR="00E306BA" w:rsidRPr="00DA1136" w:rsidRDefault="00E306BA" w:rsidP="00694840"/>
          <w:p w14:paraId="1FC1E570" w14:textId="77777777" w:rsidR="00E306BA" w:rsidRPr="00DA1136" w:rsidRDefault="00E306BA" w:rsidP="00694840"/>
          <w:p w14:paraId="6C8BC0B8" w14:textId="77777777" w:rsidR="00E306BA" w:rsidRPr="00DA1136" w:rsidRDefault="00E306BA" w:rsidP="00694840"/>
          <w:p w14:paraId="486D342D" w14:textId="77777777" w:rsidR="00E306BA" w:rsidRPr="00DA1136" w:rsidRDefault="00E306BA" w:rsidP="00694840"/>
          <w:p w14:paraId="20777A64" w14:textId="77777777" w:rsidR="00E306BA" w:rsidRPr="00DA1136" w:rsidRDefault="00E306BA" w:rsidP="00694840"/>
          <w:p w14:paraId="229F1237" w14:textId="77777777" w:rsidR="00E306BA" w:rsidRPr="00DA1136" w:rsidRDefault="00E306BA" w:rsidP="00694840"/>
          <w:p w14:paraId="4B8A912F" w14:textId="77777777" w:rsidR="00E306BA" w:rsidRPr="00DA1136" w:rsidRDefault="00E306BA" w:rsidP="00694840"/>
          <w:p w14:paraId="1DF0A3AC" w14:textId="77777777" w:rsidR="00E306BA" w:rsidRPr="00DA1136" w:rsidRDefault="00E306BA" w:rsidP="00694840"/>
          <w:p w14:paraId="33C3D108" w14:textId="77777777" w:rsidR="00E306BA" w:rsidRPr="00DA1136" w:rsidRDefault="00E306BA" w:rsidP="00694840"/>
          <w:p w14:paraId="7A36E7AF" w14:textId="77777777" w:rsidR="00E306BA" w:rsidRPr="00DA1136" w:rsidRDefault="00E306BA" w:rsidP="00694840"/>
          <w:p w14:paraId="2763253A" w14:textId="77777777" w:rsidR="00E306BA" w:rsidRPr="00DA1136" w:rsidRDefault="00E306BA" w:rsidP="00694840"/>
          <w:p w14:paraId="2197F744" w14:textId="77777777" w:rsidR="00E306BA" w:rsidRPr="00DA1136" w:rsidRDefault="00E306BA" w:rsidP="00694840"/>
          <w:p w14:paraId="5DF5B355" w14:textId="77777777" w:rsidR="00E306BA" w:rsidRPr="00DA1136" w:rsidRDefault="00E306BA" w:rsidP="00694840"/>
          <w:p w14:paraId="35EDB698" w14:textId="77777777" w:rsidR="00E306BA" w:rsidRPr="00DA1136" w:rsidRDefault="00E306BA" w:rsidP="00694840"/>
          <w:p w14:paraId="7B82C293" w14:textId="77777777" w:rsidR="00E306BA" w:rsidRPr="00DA1136" w:rsidRDefault="00E306BA" w:rsidP="00694840"/>
          <w:p w14:paraId="626F8E0A" w14:textId="77777777" w:rsidR="00E306BA" w:rsidRPr="00DA1136" w:rsidRDefault="00E306BA" w:rsidP="00694840"/>
          <w:p w14:paraId="6CA91396" w14:textId="77777777" w:rsidR="00E306BA" w:rsidRPr="00DA1136" w:rsidRDefault="00E306BA" w:rsidP="00694840"/>
          <w:p w14:paraId="2D61484C" w14:textId="77777777" w:rsidR="00E306BA" w:rsidRPr="00DA1136" w:rsidRDefault="00E306BA" w:rsidP="00694840"/>
          <w:p w14:paraId="081F472E" w14:textId="77777777" w:rsidR="00E306BA" w:rsidRPr="00DA1136" w:rsidRDefault="00E306BA" w:rsidP="00694840"/>
          <w:p w14:paraId="32FA72B3" w14:textId="77777777" w:rsidR="00E306BA" w:rsidRPr="00DA1136" w:rsidRDefault="00E306BA" w:rsidP="00694840"/>
          <w:p w14:paraId="4D0EFF57" w14:textId="77777777" w:rsidR="00E306BA" w:rsidRPr="00DA1136" w:rsidRDefault="00E306BA" w:rsidP="00694840"/>
          <w:p w14:paraId="53667CEE" w14:textId="77777777" w:rsidR="00E306BA" w:rsidRPr="00DA1136" w:rsidRDefault="00E306BA" w:rsidP="00694840"/>
          <w:p w14:paraId="1DD38583" w14:textId="77777777" w:rsidR="00E306BA" w:rsidRPr="00DA1136" w:rsidRDefault="00E306BA" w:rsidP="00694840"/>
          <w:p w14:paraId="56B5BE44" w14:textId="77777777" w:rsidR="00E306BA" w:rsidRPr="00DA1136" w:rsidRDefault="00E306BA" w:rsidP="00694840"/>
          <w:p w14:paraId="15512214" w14:textId="77777777" w:rsidR="00E306BA" w:rsidRPr="00DA1136" w:rsidRDefault="00E306BA" w:rsidP="00694840"/>
          <w:p w14:paraId="649517E7" w14:textId="77777777" w:rsidR="00E306BA" w:rsidRPr="00DA1136" w:rsidRDefault="00E306BA" w:rsidP="00694840"/>
          <w:p w14:paraId="46C2F36D" w14:textId="77777777" w:rsidR="00E306BA" w:rsidRPr="00DA1136" w:rsidRDefault="00E306BA" w:rsidP="00694840"/>
          <w:p w14:paraId="400175C3" w14:textId="77777777" w:rsidR="00E306BA" w:rsidRPr="00DA1136" w:rsidRDefault="00E306BA" w:rsidP="00694840"/>
          <w:p w14:paraId="130F9987" w14:textId="77777777" w:rsidR="009F5750" w:rsidRPr="00DA1136" w:rsidRDefault="009F5750" w:rsidP="00694840"/>
          <w:p w14:paraId="588181CB" w14:textId="77777777" w:rsidR="009F5750" w:rsidRPr="00DA1136" w:rsidRDefault="009F5750" w:rsidP="00694840"/>
          <w:p w14:paraId="7B5D39F6" w14:textId="77777777" w:rsidR="00410A34" w:rsidRPr="00DA1136" w:rsidRDefault="00410A34" w:rsidP="00694840"/>
          <w:p w14:paraId="42857DD1" w14:textId="77777777" w:rsidR="00410A34" w:rsidRPr="00DA1136" w:rsidRDefault="00410A34" w:rsidP="00694840"/>
          <w:p w14:paraId="163880B0" w14:textId="77777777" w:rsidR="00B70A81" w:rsidRPr="00DA1136" w:rsidRDefault="00B70A81" w:rsidP="00694840"/>
          <w:p w14:paraId="10AD978A" w14:textId="77777777" w:rsidR="00B70A81" w:rsidRPr="00DA1136" w:rsidRDefault="00B70A81" w:rsidP="00694840"/>
          <w:p w14:paraId="6E9B3410" w14:textId="77777777" w:rsidR="00B70A81" w:rsidRPr="00DA1136" w:rsidRDefault="00B70A81" w:rsidP="00694840"/>
          <w:p w14:paraId="53294D16" w14:textId="77777777" w:rsidR="00B70A81" w:rsidRPr="00DA1136" w:rsidRDefault="00B70A81" w:rsidP="00694840"/>
          <w:p w14:paraId="727F27D2" w14:textId="77777777" w:rsidR="00B70A81" w:rsidRPr="00DA1136" w:rsidRDefault="00B70A81" w:rsidP="00694840"/>
          <w:p w14:paraId="13279389" w14:textId="77777777" w:rsidR="00B70A81" w:rsidRPr="00DA1136" w:rsidRDefault="00B70A81" w:rsidP="00694840"/>
          <w:p w14:paraId="7053A624" w14:textId="77777777" w:rsidR="00B70A81" w:rsidRPr="00DA1136" w:rsidRDefault="00B70A81" w:rsidP="00694840"/>
          <w:p w14:paraId="541995D5" w14:textId="77777777" w:rsidR="00B70A81" w:rsidRPr="00DA1136" w:rsidRDefault="00B70A81" w:rsidP="00694840"/>
          <w:p w14:paraId="7495F5CD" w14:textId="77777777" w:rsidR="00B70A81" w:rsidRPr="00DA1136" w:rsidRDefault="00B70A81" w:rsidP="00694840"/>
          <w:p w14:paraId="3803A91E" w14:textId="77777777" w:rsidR="00B70A81" w:rsidRPr="00DA1136" w:rsidRDefault="00B70A81" w:rsidP="00694840"/>
          <w:p w14:paraId="7F7BB03F" w14:textId="77777777" w:rsidR="00694840" w:rsidRPr="00DA1136" w:rsidRDefault="00694840" w:rsidP="00694840">
            <w:pPr>
              <w:rPr>
                <w:b/>
                <w:bCs/>
              </w:rPr>
            </w:pPr>
            <w:r w:rsidRPr="00DA1136">
              <w:rPr>
                <w:b/>
                <w:bCs/>
              </w:rPr>
              <w:t>5. Garantías</w:t>
            </w:r>
          </w:p>
          <w:p w14:paraId="4725649C" w14:textId="77777777" w:rsidR="00694840" w:rsidRPr="00DA1136" w:rsidRDefault="00694840" w:rsidP="00694840">
            <w:r w:rsidRPr="00DA1136">
              <w:t xml:space="preserve">Los contratos para coberturas consignan la creación de una línea de crédito que deberá ser asignada </w:t>
            </w:r>
          </w:p>
          <w:p w14:paraId="00919B1A" w14:textId="77777777" w:rsidR="00694840" w:rsidRPr="00DA1136" w:rsidRDefault="00694840" w:rsidP="00694840">
            <w:r w:rsidRPr="00DA1136">
              <w:t xml:space="preserve">a cada fondo administrado que requiera una cobertura cambiaria, por lo cual, es de nuestro interés </w:t>
            </w:r>
          </w:p>
          <w:p w14:paraId="6CF7F388" w14:textId="77777777" w:rsidR="00694840" w:rsidRPr="00DA1136" w:rsidRDefault="00694840" w:rsidP="00694840">
            <w:r w:rsidRPr="00DA1136">
              <w:t xml:space="preserve">entender, desde la perspectiva de regulados, como se </w:t>
            </w:r>
            <w:r w:rsidR="005C6F52" w:rsidRPr="00DA1136">
              <w:t>gestarán</w:t>
            </w:r>
            <w:r w:rsidRPr="00DA1136">
              <w:t xml:space="preserve"> estos requerimientos y </w:t>
            </w:r>
            <w:r w:rsidR="008D2CC0" w:rsidRPr="00DA1136">
              <w:t>cuál</w:t>
            </w:r>
            <w:r w:rsidRPr="00DA1136">
              <w:t xml:space="preserve"> será el tratamiento de las garantías</w:t>
            </w:r>
            <w:r w:rsidR="00FB0462" w:rsidRPr="00DA1136">
              <w:t xml:space="preserve"> </w:t>
            </w:r>
            <w:r w:rsidRPr="00DA1136">
              <w:t xml:space="preserve">brindadas, ya que se expone a los fondos administrados a procesos </w:t>
            </w:r>
          </w:p>
          <w:p w14:paraId="7F46A65C" w14:textId="77777777" w:rsidR="00694840" w:rsidRPr="00DA1136" w:rsidRDefault="00694840" w:rsidP="00694840">
            <w:r w:rsidRPr="00DA1136">
              <w:t>tributarios adversos para los afiliados.</w:t>
            </w:r>
          </w:p>
          <w:p w14:paraId="546909D6" w14:textId="77777777" w:rsidR="00BF079B" w:rsidRPr="00DA1136" w:rsidRDefault="00BF079B" w:rsidP="00694840"/>
          <w:p w14:paraId="5CAB3EAB" w14:textId="77777777" w:rsidR="00694840" w:rsidRPr="00DA1136" w:rsidRDefault="00694840" w:rsidP="00694840">
            <w:pPr>
              <w:rPr>
                <w:b/>
                <w:bCs/>
              </w:rPr>
            </w:pPr>
            <w:r w:rsidRPr="00DA1136">
              <w:rPr>
                <w:b/>
                <w:bCs/>
              </w:rPr>
              <w:t>6. Implementación forzosa.</w:t>
            </w:r>
          </w:p>
          <w:p w14:paraId="308FFD7D" w14:textId="77777777" w:rsidR="00694840" w:rsidRPr="00DA1136" w:rsidRDefault="00694840" w:rsidP="00694840">
            <w:r w:rsidRPr="00DA1136">
              <w:t>Ante la posibilidad de una implementación forzosa, es de nuestro interés el cumplir con la regulación vigente en temas de</w:t>
            </w:r>
            <w:r w:rsidR="008D2CC0" w:rsidRPr="00DA1136">
              <w:t xml:space="preserve"> </w:t>
            </w:r>
            <w:r w:rsidRPr="00DA1136">
              <w:t>capacitación, cambio de sistemas, procesos contables y</w:t>
            </w:r>
            <w:r w:rsidR="00FB0462" w:rsidRPr="00DA1136">
              <w:t xml:space="preserve"> </w:t>
            </w:r>
            <w:r w:rsidRPr="00DA1136">
              <w:t xml:space="preserve">valoraciones </w:t>
            </w:r>
          </w:p>
          <w:p w14:paraId="1EFC764F" w14:textId="77777777" w:rsidR="00694840" w:rsidRPr="00DA1136" w:rsidRDefault="00694840" w:rsidP="00694840">
            <w:r w:rsidRPr="00DA1136">
              <w:lastRenderedPageBreak/>
              <w:t>de riesgos, por lo cual, a pesar de consideraciones técnicas,</w:t>
            </w:r>
            <w:r w:rsidR="00304F71" w:rsidRPr="00DA1136">
              <w:t xml:space="preserve"> </w:t>
            </w:r>
            <w:r w:rsidRPr="00DA1136">
              <w:t xml:space="preserve">observaciones u otro proceso de los </w:t>
            </w:r>
          </w:p>
          <w:p w14:paraId="56537CA1" w14:textId="77777777" w:rsidR="00694840" w:rsidRPr="00DA1136" w:rsidRDefault="00694840" w:rsidP="00694840">
            <w:r w:rsidRPr="00DA1136">
              <w:t>regulados, los textos en consulta se mantienen y se publican sin ningún tipo de modificación o aclaración a las consultas realizadas. Dicho lo anterior, en caso de</w:t>
            </w:r>
            <w:r w:rsidR="00FB0462" w:rsidRPr="00DA1136">
              <w:t xml:space="preserve"> </w:t>
            </w:r>
            <w:r w:rsidRPr="00DA1136">
              <w:t>implementación forzosa, el transitorio I deberá de ampliarse a mínimo a 1 año plazo, en función del</w:t>
            </w:r>
            <w:r w:rsidR="00FB0462" w:rsidRPr="00DA1136">
              <w:t xml:space="preserve"> </w:t>
            </w:r>
            <w:r w:rsidRPr="00DA1136">
              <w:t>cumplimiento regulatorio, así como el pronunciamiento de los procesos</w:t>
            </w:r>
            <w:r w:rsidR="007A130C" w:rsidRPr="00DA1136">
              <w:t xml:space="preserve"> </w:t>
            </w:r>
            <w:r w:rsidRPr="00DA1136">
              <w:t>operativos,</w:t>
            </w:r>
            <w:r w:rsidR="007A130C" w:rsidRPr="00DA1136">
              <w:t xml:space="preserve"> </w:t>
            </w:r>
            <w:r w:rsidRPr="00DA1136">
              <w:t xml:space="preserve">regulatorios, informativos que la </w:t>
            </w:r>
          </w:p>
          <w:p w14:paraId="5BE114B6" w14:textId="77777777" w:rsidR="007B6575" w:rsidRPr="00DA1136" w:rsidRDefault="00694840" w:rsidP="00694840">
            <w:r w:rsidRPr="00DA1136">
              <w:t>Superintendencia de Pensiones deba de gestar.</w:t>
            </w:r>
          </w:p>
          <w:p w14:paraId="64E47D5B" w14:textId="77777777" w:rsidR="00975E9E" w:rsidRPr="00DA1136" w:rsidRDefault="00975E9E" w:rsidP="00694840"/>
          <w:p w14:paraId="2CA9F3D6" w14:textId="77777777" w:rsidR="00975E9E" w:rsidRPr="00DA1136" w:rsidRDefault="00975E9E" w:rsidP="00694840">
            <w:pPr>
              <w:rPr>
                <w:b/>
                <w:bCs/>
              </w:rPr>
            </w:pPr>
            <w:r w:rsidRPr="00DA1136">
              <w:rPr>
                <w:b/>
                <w:bCs/>
              </w:rPr>
              <w:t>Vida Plena, OPC</w:t>
            </w:r>
          </w:p>
          <w:p w14:paraId="0EFC222D" w14:textId="77777777" w:rsidR="00852A86" w:rsidRPr="00DA1136" w:rsidRDefault="00852A86" w:rsidP="00852A86">
            <w:r w:rsidRPr="00DA1136">
              <w:t xml:space="preserve">Se indica que deberán utilizarse coberturas de tipo de cambio para cubrir riesgos a los que puedan estar expuestos los flujos de pago a los afiliados y pensionados. Inicialmente, se estima importante indicar que la variabilidad en el valor cuota se afecta sobre todo por factores adicionales al tipo de cambio, en fondos </w:t>
            </w:r>
            <w:r w:rsidRPr="00DA1136">
              <w:lastRenderedPageBreak/>
              <w:t>denominados en otra moneda funcional a los instrumentos denominados en monedas extranjera. Solo por citar un ejemplo, durante este año los instrumentos de renta variable han presentado una gran volatilidad y en el caso de renta fija ante incrementos en tasas de interés se esperan pérdidas no realizadas por valoración, siendo que el incremento en el tipo de cambio ha sido uno de los factores relevantes para la mitigación del riesgo de mercado, con un ejercicio de backtesting se puede constatar nuestra apreciación. En síntesis, esta medida encarecería los costos, exacerbando entonces los efectos adversos en las cuentas de los afiliados y afectando también a quienes no hagan retiros por pensión, retiro del FCL o traslado.</w:t>
            </w:r>
          </w:p>
          <w:p w14:paraId="79B7CC1F" w14:textId="77777777" w:rsidR="00852A86" w:rsidRPr="00DA1136" w:rsidRDefault="00852A86" w:rsidP="00852A86">
            <w:r w:rsidRPr="00DA1136">
              <w:t xml:space="preserve">Al margen de lo indicado, no se comprende, ni comparte y no queda claro el fundamento para la exposición cambiaria de al menos los tres meses siguientes. Su impacto en el valor cuota incrementaría riesgos operacionales, </w:t>
            </w:r>
            <w:r w:rsidRPr="00DA1136">
              <w:lastRenderedPageBreak/>
              <w:t>disminuiría la rentabilidad por los costos de las coberturas y no produciría el efecto previsto en el valor cuota del fondo.</w:t>
            </w:r>
          </w:p>
          <w:p w14:paraId="1B1EAECF" w14:textId="77777777" w:rsidR="00852A86" w:rsidRPr="00DA1136" w:rsidRDefault="00852A86" w:rsidP="00852A86">
            <w:r w:rsidRPr="00DA1136">
              <w:t>Adicionalmente, las condiciones para un mercado de coberturas no existen. Por ejemplo, el Fondo Monetario Internacional ha indicado que para su desarrollo debe existir una variabilidad de la moneda, aunque con una medida como la planteada, regulatoriamente se estaría favoreciendo los resultados fundamentalmente de los bancos quienes se estima ofrecerían estas coberturas, en otras palabras, se les crea un negocio.</w:t>
            </w:r>
          </w:p>
          <w:p w14:paraId="03250442" w14:textId="77777777" w:rsidR="009B75FD" w:rsidRPr="00DA1136" w:rsidRDefault="009B75FD" w:rsidP="00694840"/>
          <w:p w14:paraId="3E210F46" w14:textId="77777777" w:rsidR="009B75FD" w:rsidRPr="00DA1136" w:rsidRDefault="009B75FD" w:rsidP="00694840">
            <w:pPr>
              <w:rPr>
                <w:b/>
                <w:bCs/>
              </w:rPr>
            </w:pPr>
            <w:r w:rsidRPr="00DA1136">
              <w:rPr>
                <w:b/>
                <w:bCs/>
              </w:rPr>
              <w:t>ACOP</w:t>
            </w:r>
          </w:p>
          <w:p w14:paraId="1553CC39" w14:textId="77777777" w:rsidR="009B75FD" w:rsidRPr="00DA1136" w:rsidRDefault="009B75FD" w:rsidP="009B75FD">
            <w:r w:rsidRPr="00DA1136">
              <w:t xml:space="preserve">De conformidad con los considerandos citados la diversificación de las </w:t>
            </w:r>
          </w:p>
          <w:p w14:paraId="4ACE5E61" w14:textId="77777777" w:rsidR="009B75FD" w:rsidRPr="00DA1136" w:rsidRDefault="009B75FD" w:rsidP="009B75FD">
            <w:r w:rsidRPr="00DA1136">
              <w:t xml:space="preserve">inversiones es un aspecto medular para controlar los riesgos que afecta los </w:t>
            </w:r>
          </w:p>
          <w:p w14:paraId="6A078780" w14:textId="77777777" w:rsidR="009B75FD" w:rsidRPr="00DA1136" w:rsidRDefault="009B75FD" w:rsidP="009B75FD">
            <w:r w:rsidRPr="00DA1136">
              <w:t xml:space="preserve">rendimientos, sin embargo, en el considerando 8) se hace un análisis respecto de la dolarización de los fondos, por medio de inversiones extranjeras y locales, </w:t>
            </w:r>
          </w:p>
          <w:p w14:paraId="3DE638A7" w14:textId="77777777" w:rsidR="009B75FD" w:rsidRPr="00DA1136" w:rsidRDefault="009B75FD" w:rsidP="009B75FD">
            <w:r w:rsidRPr="00DA1136">
              <w:lastRenderedPageBreak/>
              <w:t xml:space="preserve">que no corresponde con la realidad de las cosas y que sirven de fundamento </w:t>
            </w:r>
          </w:p>
          <w:p w14:paraId="441841E0" w14:textId="77777777" w:rsidR="009B75FD" w:rsidRPr="00DA1136" w:rsidRDefault="009B75FD" w:rsidP="009B75FD">
            <w:r w:rsidRPr="00DA1136">
              <w:t>para proponer la reforma al artículo 15 del Reglamento de Gestión de Activos.</w:t>
            </w:r>
          </w:p>
          <w:p w14:paraId="71A3F4BB" w14:textId="77777777" w:rsidR="009B75FD" w:rsidRPr="00DA1136" w:rsidRDefault="009B75FD" w:rsidP="009B75FD">
            <w:r w:rsidRPr="00DA1136">
              <w:t xml:space="preserve">No parece lógico y razonable por un lado promover la diversificación de las </w:t>
            </w:r>
          </w:p>
          <w:p w14:paraId="39F09947" w14:textId="77777777" w:rsidR="009B75FD" w:rsidRPr="00DA1136" w:rsidRDefault="009B75FD" w:rsidP="009B75FD">
            <w:r w:rsidRPr="00DA1136">
              <w:t xml:space="preserve">inversiones y por otro, pretender establecer una suerte de impuesto denominado </w:t>
            </w:r>
          </w:p>
          <w:p w14:paraId="5E350FA2" w14:textId="77777777" w:rsidR="009B75FD" w:rsidRPr="00DA1136" w:rsidRDefault="009B75FD" w:rsidP="008D2CC0">
            <w:r w:rsidRPr="00DA1136">
              <w:t xml:space="preserve">“coberturas”, a los fondos que se diversifiquen por moneda, alegando </w:t>
            </w:r>
          </w:p>
          <w:p w14:paraId="34A5A7B3" w14:textId="77777777" w:rsidR="009B75FD" w:rsidRPr="00DA1136" w:rsidRDefault="009B75FD" w:rsidP="009B75FD">
            <w:r w:rsidRPr="00DA1136">
              <w:t>simplemente que la ley, ni el Reglamento de Gestión de Activos, establecen límites a la inversión del activo por moneda</w:t>
            </w:r>
            <w:r w:rsidR="007608B8" w:rsidRPr="00DA1136">
              <w:t>.</w:t>
            </w:r>
          </w:p>
          <w:p w14:paraId="521F3C71" w14:textId="77777777" w:rsidR="007608B8" w:rsidRPr="00DA1136" w:rsidRDefault="007608B8" w:rsidP="009B75FD">
            <w:r w:rsidRPr="00DA1136">
              <w:t>(…)</w:t>
            </w:r>
          </w:p>
          <w:p w14:paraId="135EA0A8" w14:textId="77777777" w:rsidR="007608B8" w:rsidRPr="00DA1136" w:rsidRDefault="007608B8" w:rsidP="007608B8">
            <w:pPr>
              <w:rPr>
                <w:b/>
                <w:bCs/>
              </w:rPr>
            </w:pPr>
            <w:r w:rsidRPr="00DA1136">
              <w:rPr>
                <w:b/>
                <w:bCs/>
              </w:rPr>
              <w:t xml:space="preserve">B. Propuesta de reforma al artículo 15 del Reglamento de Gestión de </w:t>
            </w:r>
          </w:p>
          <w:p w14:paraId="30460C32" w14:textId="77777777" w:rsidR="007608B8" w:rsidRPr="00DA1136" w:rsidRDefault="007608B8" w:rsidP="007608B8">
            <w:pPr>
              <w:rPr>
                <w:b/>
                <w:bCs/>
              </w:rPr>
            </w:pPr>
            <w:r w:rsidRPr="00DA1136">
              <w:rPr>
                <w:b/>
                <w:bCs/>
              </w:rPr>
              <w:t>Activos:</w:t>
            </w:r>
          </w:p>
          <w:p w14:paraId="0A4EB8BA" w14:textId="77777777" w:rsidR="007608B8" w:rsidRPr="00DA1136" w:rsidRDefault="007608B8" w:rsidP="007608B8">
            <w:r w:rsidRPr="00DA1136">
              <w:t xml:space="preserve">En la propuesta de reformas al Reglamento de Gestión de Activos, se incluyó la </w:t>
            </w:r>
          </w:p>
          <w:p w14:paraId="091173E4" w14:textId="77777777" w:rsidR="007608B8" w:rsidRPr="00DA1136" w:rsidRDefault="007608B8" w:rsidP="007608B8">
            <w:r w:rsidRPr="00DA1136">
              <w:t xml:space="preserve">adición de “un último” párrafo” (aunque en realidad son dos), donde se establece la obligación de los fondos de utilizar coberturas, por la porción de las inversiones que se mantienen en dólares. </w:t>
            </w:r>
          </w:p>
          <w:p w14:paraId="7D97ADC4" w14:textId="77777777" w:rsidR="007608B8" w:rsidRPr="00DA1136" w:rsidRDefault="007608B8" w:rsidP="007608B8">
            <w:r w:rsidRPr="00DA1136">
              <w:lastRenderedPageBreak/>
              <w:t>En concreto se</w:t>
            </w:r>
            <w:r w:rsidR="00AF7AF6" w:rsidRPr="00DA1136">
              <w:t xml:space="preserve"> </w:t>
            </w:r>
            <w:r w:rsidRPr="00DA1136">
              <w:t>propone como reformar al artículo 15 del Reglamento</w:t>
            </w:r>
            <w:r w:rsidR="00AF7AF6" w:rsidRPr="00DA1136">
              <w:t xml:space="preserve"> </w:t>
            </w:r>
            <w:r w:rsidRPr="00DA1136">
              <w:t xml:space="preserve">Gestión de </w:t>
            </w:r>
          </w:p>
          <w:p w14:paraId="3EF24465" w14:textId="77777777" w:rsidR="007608B8" w:rsidRPr="00DA1136" w:rsidRDefault="007608B8" w:rsidP="007608B8">
            <w:r w:rsidRPr="00DA1136">
              <w:t>Activos, lo siguiente:</w:t>
            </w:r>
          </w:p>
          <w:p w14:paraId="6F36AAD5" w14:textId="77777777" w:rsidR="007608B8" w:rsidRPr="00DA1136" w:rsidRDefault="007608B8" w:rsidP="007608B8">
            <w:r w:rsidRPr="00DA1136">
              <w:t>(…)</w:t>
            </w:r>
          </w:p>
          <w:p w14:paraId="1F44ACE9" w14:textId="77777777" w:rsidR="007608B8" w:rsidRPr="00DA1136" w:rsidRDefault="007608B8" w:rsidP="007608B8">
            <w:r w:rsidRPr="00DA1136">
              <w:t xml:space="preserve">Las entidades reguladas que mantengan inversiones en valores denominados </w:t>
            </w:r>
          </w:p>
          <w:p w14:paraId="28AA201E" w14:textId="77777777" w:rsidR="007608B8" w:rsidRPr="00DA1136" w:rsidRDefault="007608B8" w:rsidP="007608B8">
            <w:r w:rsidRPr="00DA1136">
              <w:t xml:space="preserve">en monedas distintas al Colón en los fondos de pensiones en colones deberán </w:t>
            </w:r>
          </w:p>
          <w:p w14:paraId="219EDE97" w14:textId="77777777" w:rsidR="007608B8" w:rsidRPr="00DA1136" w:rsidRDefault="007608B8" w:rsidP="007608B8">
            <w:r w:rsidRPr="00DA1136">
              <w:t xml:space="preserve">utilizar coberturas de tipo de cambio que permitan, como mínimo, cubrir los </w:t>
            </w:r>
          </w:p>
          <w:p w14:paraId="66CE0977" w14:textId="77777777" w:rsidR="007608B8" w:rsidRPr="00DA1136" w:rsidRDefault="007608B8" w:rsidP="007608B8">
            <w:r w:rsidRPr="00DA1136">
              <w:t>riesgos a que puedan estar expuestos los flujos de pago a los afiliados y</w:t>
            </w:r>
            <w:r w:rsidR="00AF7AF6" w:rsidRPr="00DA1136">
              <w:t xml:space="preserve"> </w:t>
            </w:r>
            <w:r w:rsidRPr="00DA1136">
              <w:t>pensionados, por concepto de pensión, retiros y libre transferencia. La cobertura deberá considerar, al menos, la exposición al riesgo cambiario de los montos</w:t>
            </w:r>
            <w:r w:rsidR="001A580C" w:rsidRPr="00DA1136">
              <w:t xml:space="preserve"> </w:t>
            </w:r>
            <w:r w:rsidRPr="00DA1136">
              <w:t>correspondientes a estos conceptos por los tres meses siguientes.</w:t>
            </w:r>
          </w:p>
          <w:p w14:paraId="094E066E" w14:textId="77777777" w:rsidR="007608B8" w:rsidRPr="00DA1136" w:rsidRDefault="007608B8" w:rsidP="007608B8">
            <w:r w:rsidRPr="00DA1136">
              <w:t xml:space="preserve">No obstante, si las inversiones en valores denominados en monedas distintas </w:t>
            </w:r>
          </w:p>
          <w:p w14:paraId="11596887" w14:textId="77777777" w:rsidR="007608B8" w:rsidRPr="00DA1136" w:rsidRDefault="007608B8" w:rsidP="007608B8">
            <w:r w:rsidRPr="00DA1136">
              <w:t xml:space="preserve">al Colón sobrepasan el 40% del valor del activo de los fondos de pensiones </w:t>
            </w:r>
          </w:p>
          <w:p w14:paraId="2E0BD038" w14:textId="77777777" w:rsidR="007608B8" w:rsidRPr="00DA1136" w:rsidRDefault="007608B8" w:rsidP="007608B8">
            <w:r w:rsidRPr="00DA1136">
              <w:t xml:space="preserve">denominados en colones, se deberán </w:t>
            </w:r>
            <w:r w:rsidRPr="00DA1136">
              <w:lastRenderedPageBreak/>
              <w:t xml:space="preserve">utilizar coberturas de tipo de cambio </w:t>
            </w:r>
          </w:p>
          <w:p w14:paraId="163FD1A2" w14:textId="77777777" w:rsidR="007608B8" w:rsidRPr="00DA1136" w:rsidRDefault="007608B8" w:rsidP="007608B8">
            <w:r w:rsidRPr="00DA1136">
              <w:t>para la posición que sobrepase el umbral indicado.</w:t>
            </w:r>
          </w:p>
          <w:p w14:paraId="2959ECCC" w14:textId="77777777" w:rsidR="007608B8" w:rsidRPr="00DA1136" w:rsidRDefault="007608B8" w:rsidP="007608B8">
            <w:r w:rsidRPr="00DA1136">
              <w:t xml:space="preserve">Las anteriores disposiciones también aplican al Fondo de Capitalización </w:t>
            </w:r>
          </w:p>
          <w:p w14:paraId="79DE29BE" w14:textId="77777777" w:rsidR="007608B8" w:rsidRPr="00DA1136" w:rsidRDefault="007608B8" w:rsidP="007608B8">
            <w:r w:rsidRPr="00DA1136">
              <w:t>Laboral.</w:t>
            </w:r>
          </w:p>
          <w:p w14:paraId="5AF463D8" w14:textId="77777777" w:rsidR="007608B8" w:rsidRPr="00DA1136" w:rsidRDefault="007608B8" w:rsidP="007608B8">
            <w:r w:rsidRPr="00DA1136">
              <w:t>(…)</w:t>
            </w:r>
          </w:p>
          <w:p w14:paraId="6CA73F31" w14:textId="77777777" w:rsidR="007608B8" w:rsidRPr="00DA1136" w:rsidRDefault="007608B8" w:rsidP="007608B8">
            <w:r w:rsidRPr="00DA1136">
              <w:t xml:space="preserve">Como lo indicamos la diversificación de las inversiones en mercados y monedas </w:t>
            </w:r>
          </w:p>
          <w:p w14:paraId="67301FF4" w14:textId="77777777" w:rsidR="007608B8" w:rsidRPr="00DA1136" w:rsidRDefault="007608B8" w:rsidP="007608B8">
            <w:r w:rsidRPr="00DA1136">
              <w:t xml:space="preserve">diversos, es manera de administrar los principales riesgos de los fondos de </w:t>
            </w:r>
          </w:p>
          <w:p w14:paraId="3C46B5DF" w14:textId="77777777" w:rsidR="007608B8" w:rsidRPr="00DA1136" w:rsidRDefault="007608B8" w:rsidP="007608B8">
            <w:r w:rsidRPr="00DA1136">
              <w:t xml:space="preserve">pensiones. </w:t>
            </w:r>
          </w:p>
          <w:p w14:paraId="7FBC0ADE" w14:textId="77777777" w:rsidR="007608B8" w:rsidRPr="00DA1136" w:rsidRDefault="007608B8" w:rsidP="007608B8">
            <w:r w:rsidRPr="00DA1136">
              <w:t xml:space="preserve">Por su parte las coberturas, tienen como finalidad fundamental, “garantizar que </w:t>
            </w:r>
          </w:p>
          <w:p w14:paraId="6BF9E533" w14:textId="77777777" w:rsidR="007608B8" w:rsidRPr="00DA1136" w:rsidRDefault="007608B8" w:rsidP="007608B8">
            <w:r w:rsidRPr="00DA1136">
              <w:t>no se pierda dinero debido a las fluctuaciones de las divisas.”, sin embargo, no encontramos razones técnicas de peso, para que se pretenda obligar a las entidades</w:t>
            </w:r>
            <w:r w:rsidR="00AF7AF6" w:rsidRPr="00DA1136">
              <w:t xml:space="preserve"> </w:t>
            </w:r>
            <w:r w:rsidRPr="00DA1136">
              <w:t>supervisadas a tener coberturas</w:t>
            </w:r>
            <w:r w:rsidR="00AF7AF6" w:rsidRPr="00DA1136">
              <w:t xml:space="preserve"> </w:t>
            </w:r>
            <w:r w:rsidRPr="00DA1136">
              <w:t>cambiarias, por las razones que detallamos a</w:t>
            </w:r>
            <w:r w:rsidR="00AF7AF6" w:rsidRPr="00DA1136">
              <w:t xml:space="preserve"> </w:t>
            </w:r>
            <w:r w:rsidRPr="00DA1136">
              <w:t>continuación.</w:t>
            </w:r>
          </w:p>
          <w:p w14:paraId="6CDACDC9" w14:textId="77777777" w:rsidR="00BC6AB5" w:rsidRPr="00DA1136" w:rsidRDefault="00BC6AB5" w:rsidP="007608B8"/>
          <w:p w14:paraId="21158664" w14:textId="77777777" w:rsidR="007608B8" w:rsidRPr="00DA1136" w:rsidRDefault="007608B8" w:rsidP="007608B8">
            <w:r w:rsidRPr="00DA1136">
              <w:t>1. La propuesta de reforma al artículo 15 del Reglamento de Gestión de Activos (en adelante RGA),</w:t>
            </w:r>
            <w:r w:rsidR="00BD5A38" w:rsidRPr="00DA1136">
              <w:t xml:space="preserve"> </w:t>
            </w:r>
            <w:r w:rsidRPr="00DA1136">
              <w:t xml:space="preserve">aparentemente no está sustentada en </w:t>
            </w:r>
            <w:r w:rsidRPr="00DA1136">
              <w:lastRenderedPageBreak/>
              <w:t>ningún estudio, que indique entre otros el proceso de operativización; el costo de las</w:t>
            </w:r>
            <w:r w:rsidR="00955731" w:rsidRPr="00DA1136">
              <w:t xml:space="preserve"> </w:t>
            </w:r>
            <w:r w:rsidRPr="00DA1136">
              <w:t>coberturas; el costo en el largo plazo de mantener las coberturas; quien ofrece coberturas de tipo de cambio en Costa Rica; sí es posible implementar un sistema de coberturas.</w:t>
            </w:r>
          </w:p>
          <w:p w14:paraId="51D1733C" w14:textId="77777777" w:rsidR="00552F09" w:rsidRPr="00DA1136" w:rsidRDefault="00552F09" w:rsidP="007608B8"/>
          <w:p w14:paraId="6B3E9485" w14:textId="77777777" w:rsidR="007608B8" w:rsidRPr="00DA1136" w:rsidRDefault="007608B8" w:rsidP="007608B8">
            <w:r w:rsidRPr="00DA1136">
              <w:t xml:space="preserve">2. Históricamente y de manera más acentuada, desde los años ochenta, el </w:t>
            </w:r>
          </w:p>
          <w:p w14:paraId="5AD49658" w14:textId="77777777" w:rsidR="007608B8" w:rsidRPr="00DA1136" w:rsidRDefault="007608B8" w:rsidP="007608B8">
            <w:r w:rsidRPr="00DA1136">
              <w:t xml:space="preserve">dólar se ha venido apreciando frente al colón, llegando a los niveles que hoy en día conocemos. No conoce esta Asociación estudio alguno que haya previsto que, en el corto, mediano o largo plazo, exista una </w:t>
            </w:r>
          </w:p>
          <w:p w14:paraId="28989AB1" w14:textId="77777777" w:rsidR="007608B8" w:rsidRPr="00DA1136" w:rsidRDefault="007608B8" w:rsidP="007608B8">
            <w:r w:rsidRPr="00DA1136">
              <w:t xml:space="preserve">estrategia del país para lograr que el colón se aprecie frente al dólar, razón </w:t>
            </w:r>
          </w:p>
          <w:p w14:paraId="01734149" w14:textId="77777777" w:rsidR="007608B8" w:rsidRPr="00DA1136" w:rsidRDefault="007608B8" w:rsidP="007608B8">
            <w:r w:rsidRPr="00DA1136">
              <w:t>por la cual no existe lógica en el</w:t>
            </w:r>
            <w:r w:rsidR="00AF7AF6" w:rsidRPr="00DA1136">
              <w:t xml:space="preserve"> </w:t>
            </w:r>
            <w:r w:rsidRPr="00DA1136">
              <w:t>planteamiento que nos formula la reforma al artículo 15 del Reglamento de Gestión de Activos.</w:t>
            </w:r>
          </w:p>
          <w:p w14:paraId="3D9C3DD9" w14:textId="77777777" w:rsidR="00882908" w:rsidRPr="00DA1136" w:rsidRDefault="00882908" w:rsidP="007608B8"/>
          <w:p w14:paraId="2DFD8DBE" w14:textId="77777777" w:rsidR="00643714" w:rsidRPr="00DA1136" w:rsidRDefault="00643714" w:rsidP="007608B8"/>
          <w:p w14:paraId="73338424" w14:textId="77777777" w:rsidR="007608B8" w:rsidRPr="00DA1136" w:rsidRDefault="007608B8" w:rsidP="007608B8">
            <w:r w:rsidRPr="00427CFD">
              <w:t>3. Esta Asociación, no conoce y no cuenta con estudios que permitan</w:t>
            </w:r>
            <w:r w:rsidR="00AF7AF6" w:rsidRPr="00427CFD">
              <w:t xml:space="preserve"> </w:t>
            </w:r>
            <w:r w:rsidRPr="00427CFD">
              <w:t>determinar</w:t>
            </w:r>
            <w:r w:rsidRPr="00DA1136">
              <w:t xml:space="preserve"> </w:t>
            </w:r>
            <w:r w:rsidRPr="00DA1136">
              <w:lastRenderedPageBreak/>
              <w:t>o ubicar un operador financiero que tome la posición contraria</w:t>
            </w:r>
          </w:p>
          <w:p w14:paraId="1A615C48" w14:textId="77777777" w:rsidR="007608B8" w:rsidRPr="00DA1136" w:rsidRDefault="007608B8" w:rsidP="007608B8">
            <w:r w:rsidRPr="00DA1136">
              <w:t>en la cobertura del tipo de cambio del dólar.</w:t>
            </w:r>
          </w:p>
          <w:p w14:paraId="241DEBBB" w14:textId="77777777" w:rsidR="00552F09" w:rsidRPr="00DA1136" w:rsidRDefault="00552F09" w:rsidP="007608B8"/>
          <w:p w14:paraId="2AE939E7" w14:textId="77777777" w:rsidR="007608B8" w:rsidRPr="00DA1136" w:rsidRDefault="007608B8" w:rsidP="007608B8">
            <w:r w:rsidRPr="00DA1136">
              <w:t xml:space="preserve">4. La propuesta de reforma al artículo 15 del Reglamento de Gestión de Activos, propone que los fondos de pensiones, adquieran coberturas de tipo de cambio, como mínimo para cubrir los riesgos a que puedan estar </w:t>
            </w:r>
          </w:p>
          <w:p w14:paraId="505F2C02" w14:textId="77777777" w:rsidR="007608B8" w:rsidRPr="00DA1136" w:rsidRDefault="007608B8" w:rsidP="007608B8">
            <w:r w:rsidRPr="00DA1136">
              <w:t>expuestos los flujos a pensionados y</w:t>
            </w:r>
            <w:r w:rsidR="00AF7AF6" w:rsidRPr="00DA1136">
              <w:t xml:space="preserve"> </w:t>
            </w:r>
            <w:r w:rsidRPr="00DA1136">
              <w:t>afiliados, dicho riesgo parece poco probable, en cuanto a su</w:t>
            </w:r>
            <w:r w:rsidR="00AF7AF6" w:rsidRPr="00DA1136">
              <w:t xml:space="preserve"> </w:t>
            </w:r>
            <w:r w:rsidRPr="00DA1136">
              <w:t>ocurrencia, en el tanto, al menos el 50% del fondo debe estar invertido en el país,</w:t>
            </w:r>
            <w:r w:rsidR="00581C0F" w:rsidRPr="00DA1136">
              <w:t xml:space="preserve"> </w:t>
            </w:r>
            <w:r w:rsidRPr="00DA1136">
              <w:t>mayoritariamente en colones, además de que mensualmente las Operadoras de</w:t>
            </w:r>
            <w:r w:rsidR="00AF7AF6" w:rsidRPr="00DA1136">
              <w:t xml:space="preserve"> </w:t>
            </w:r>
            <w:r w:rsidRPr="00DA1136">
              <w:t xml:space="preserve">Pensiones, reciben </w:t>
            </w:r>
          </w:p>
          <w:p w14:paraId="6E282170" w14:textId="77777777" w:rsidR="007608B8" w:rsidRPr="00DA1136" w:rsidRDefault="007608B8" w:rsidP="007608B8">
            <w:r w:rsidRPr="00DA1136">
              <w:t>flujos importantes de cotizaciones, que perfectamente</w:t>
            </w:r>
            <w:r w:rsidR="00AF7AF6" w:rsidRPr="00DA1136">
              <w:t xml:space="preserve"> </w:t>
            </w:r>
            <w:r w:rsidRPr="00DA1136">
              <w:t xml:space="preserve">alcanzan para </w:t>
            </w:r>
          </w:p>
          <w:p w14:paraId="1497C84A" w14:textId="77777777" w:rsidR="007608B8" w:rsidRPr="00DA1136" w:rsidRDefault="007608B8" w:rsidP="007608B8">
            <w:r w:rsidRPr="00DA1136">
              <w:t>mantener a salvo cualquier compromiso para pagar pensiones o realizar libre transferencia, o ambos al mismo tiempo.</w:t>
            </w:r>
          </w:p>
          <w:p w14:paraId="1DEB8970" w14:textId="77777777" w:rsidR="002C2348" w:rsidRPr="00DA1136" w:rsidRDefault="002C2348" w:rsidP="007608B8"/>
          <w:p w14:paraId="70045D42" w14:textId="77777777" w:rsidR="007608B8" w:rsidRPr="00DA1136" w:rsidRDefault="007608B8" w:rsidP="007608B8">
            <w:r w:rsidRPr="00DA1136">
              <w:t xml:space="preserve">5. La implementación de un sistema de coberturas supone un </w:t>
            </w:r>
            <w:r w:rsidRPr="00DA1136">
              <w:lastRenderedPageBreak/>
              <w:t xml:space="preserve">costo adicional para los fondos de pensiones, lo que en nuestro caso no </w:t>
            </w:r>
          </w:p>
          <w:p w14:paraId="727AA96E" w14:textId="77777777" w:rsidR="007608B8" w:rsidRPr="00DA1136" w:rsidRDefault="000D5F81" w:rsidP="007608B8">
            <w:r w:rsidRPr="00DA1136">
              <w:t>E</w:t>
            </w:r>
            <w:r w:rsidR="007608B8" w:rsidRPr="00DA1136">
              <w:t>ncuentra</w:t>
            </w:r>
            <w:r w:rsidR="00CC3515" w:rsidRPr="00DA1136">
              <w:t xml:space="preserve"> </w:t>
            </w:r>
            <w:r w:rsidR="007608B8" w:rsidRPr="00DA1136">
              <w:t>justificación, en virtud de que las Operadoras de Pensiones siempre mantendrán un flujo, suficiente de activos en colones, habida cuenta de que mensualmente se reciben aportaciones en colones que permitirán cubrir cualquier salida de dinero para el pago de las prestaciones en curso.</w:t>
            </w:r>
          </w:p>
          <w:p w14:paraId="66C2D5EC" w14:textId="77777777" w:rsidR="007608B8" w:rsidRPr="00DA1136" w:rsidRDefault="007608B8" w:rsidP="007608B8">
            <w:r w:rsidRPr="00DA1136">
              <w:t xml:space="preserve">De acuerdo con los criterios anteriores nos parece que la propuesta de reforma </w:t>
            </w:r>
          </w:p>
          <w:p w14:paraId="5B95AD67" w14:textId="77777777" w:rsidR="006660B0" w:rsidRPr="00DA1136" w:rsidRDefault="007608B8" w:rsidP="006660B0">
            <w:r w:rsidRPr="00DA1136">
              <w:t>del artículo 15 del RGA, requiere más análisis y estudios antes de su</w:t>
            </w:r>
            <w:r w:rsidR="00AF7AF6" w:rsidRPr="00DA1136">
              <w:t xml:space="preserve"> </w:t>
            </w:r>
            <w:r w:rsidRPr="00DA1136">
              <w:t>aprobación, por lo que respetuosamente sugerimos se excluya, la reforma a ese artículo del</w:t>
            </w:r>
            <w:r w:rsidR="00AF7AF6" w:rsidRPr="00DA1136">
              <w:t xml:space="preserve"> </w:t>
            </w:r>
            <w:r w:rsidRPr="00DA1136">
              <w:t>Reglamento de Gestión de Activos.</w:t>
            </w:r>
          </w:p>
        </w:tc>
        <w:tc>
          <w:tcPr>
            <w:tcW w:w="2196" w:type="dxa"/>
          </w:tcPr>
          <w:p w14:paraId="182A2D20" w14:textId="77777777" w:rsidR="00C932C1" w:rsidRPr="00FA3030" w:rsidRDefault="006816BA" w:rsidP="00BB1199">
            <w:pPr>
              <w:rPr>
                <w:b/>
                <w:bCs/>
              </w:rPr>
            </w:pPr>
            <w:r w:rsidRPr="00FA3030">
              <w:rPr>
                <w:b/>
                <w:bCs/>
              </w:rPr>
              <w:lastRenderedPageBreak/>
              <w:t>BCCR/SUPEN</w:t>
            </w:r>
          </w:p>
          <w:p w14:paraId="2511DCE6" w14:textId="77777777" w:rsidR="00C932C1" w:rsidRPr="00DA1136" w:rsidRDefault="006816BA" w:rsidP="00BB1199">
            <w:r w:rsidRPr="00DA1136">
              <w:t>Se trata de un comentario.</w:t>
            </w:r>
          </w:p>
          <w:p w14:paraId="395426D7" w14:textId="77777777" w:rsidR="00C932C1" w:rsidRPr="00DA1136" w:rsidRDefault="00C932C1" w:rsidP="00BB1199"/>
          <w:p w14:paraId="6C62E44A" w14:textId="77777777" w:rsidR="00C932C1" w:rsidRPr="00DA1136" w:rsidRDefault="00C932C1" w:rsidP="00BB1199"/>
          <w:p w14:paraId="28DCD116" w14:textId="77777777" w:rsidR="00C932C1" w:rsidRPr="00DA1136" w:rsidRDefault="00C932C1" w:rsidP="00BB1199"/>
          <w:p w14:paraId="3A4E098A" w14:textId="77777777" w:rsidR="00C932C1" w:rsidRPr="00DA1136" w:rsidRDefault="00C932C1" w:rsidP="00BB1199"/>
          <w:p w14:paraId="5ED0D716" w14:textId="17AB82A0" w:rsidR="00C932C1" w:rsidRDefault="00C932C1" w:rsidP="00BB1199"/>
          <w:p w14:paraId="29BEFD68" w14:textId="1F0C4AFC" w:rsidR="00A439F6" w:rsidRDefault="00A439F6" w:rsidP="00BB1199"/>
          <w:p w14:paraId="35A574F9" w14:textId="27853C9D" w:rsidR="00A439F6" w:rsidRDefault="00A439F6" w:rsidP="00BB1199"/>
          <w:p w14:paraId="0617845A" w14:textId="77777777" w:rsidR="00A439F6" w:rsidRPr="001071B8" w:rsidRDefault="00A439F6" w:rsidP="00A439F6">
            <w:pPr>
              <w:rPr>
                <w:b/>
                <w:bCs/>
              </w:rPr>
            </w:pPr>
            <w:r w:rsidRPr="001071B8">
              <w:rPr>
                <w:b/>
                <w:bCs/>
              </w:rPr>
              <w:t>JUPEMA/SUPEN</w:t>
            </w:r>
          </w:p>
          <w:p w14:paraId="4F3D333B" w14:textId="11484011" w:rsidR="00A439F6" w:rsidRDefault="00A439F6" w:rsidP="00A439F6">
            <w:r w:rsidRPr="001071B8">
              <w:t xml:space="preserve">Se eliminan, en el texto definitivo, las coberturas sobre los flujos de pago a los afiliados y pensionados, por </w:t>
            </w:r>
            <w:r w:rsidRPr="001071B8">
              <w:lastRenderedPageBreak/>
              <w:t>concepto de pensión, retiros y libre transferencia. El Reglamento de gestión de activos (artículo 31), así como prácticas internacionales van en la línea de las inversiones existentes y no en flujos esperado.</w:t>
            </w:r>
          </w:p>
          <w:p w14:paraId="1BCE9169" w14:textId="5EAD3CB0" w:rsidR="00875AFB" w:rsidRDefault="00875AFB" w:rsidP="00A439F6"/>
          <w:p w14:paraId="36FE1A15" w14:textId="4D3B71EB" w:rsidR="00875AFB" w:rsidRDefault="00875AFB" w:rsidP="00A439F6"/>
          <w:p w14:paraId="7C8E197C" w14:textId="77777777" w:rsidR="00875AFB" w:rsidRPr="00DA1136" w:rsidRDefault="00875AFB" w:rsidP="00A439F6"/>
          <w:p w14:paraId="79E343A9" w14:textId="77777777" w:rsidR="00A439F6" w:rsidRPr="00DA1136" w:rsidRDefault="00A439F6" w:rsidP="00A439F6"/>
          <w:p w14:paraId="3D7329CD" w14:textId="77777777" w:rsidR="00A439F6" w:rsidRPr="00DA1136" w:rsidRDefault="00A439F6" w:rsidP="00BB1199"/>
          <w:p w14:paraId="0CD84CAC" w14:textId="77777777" w:rsidR="00C932C1" w:rsidRPr="00DA1136" w:rsidRDefault="00C932C1" w:rsidP="00BB1199"/>
          <w:p w14:paraId="6102289E" w14:textId="77777777" w:rsidR="00C92815" w:rsidRPr="00DA1136" w:rsidRDefault="00C92815" w:rsidP="00BB1199"/>
          <w:p w14:paraId="2ADD0FD7" w14:textId="712058E5" w:rsidR="00063205" w:rsidRDefault="00063205" w:rsidP="00BB1199"/>
          <w:p w14:paraId="00FF5037" w14:textId="5DB50DBE" w:rsidR="0004374B" w:rsidRDefault="0004374B" w:rsidP="00BB1199"/>
          <w:p w14:paraId="05DD21F9" w14:textId="0F6CF446" w:rsidR="0004374B" w:rsidRDefault="0004374B" w:rsidP="00BB1199"/>
          <w:p w14:paraId="61E3D85A" w14:textId="7CEFD400" w:rsidR="0004374B" w:rsidRDefault="0004374B" w:rsidP="00BB1199"/>
          <w:p w14:paraId="17A50601" w14:textId="30E40D89" w:rsidR="0004374B" w:rsidRDefault="0004374B" w:rsidP="00BB1199"/>
          <w:p w14:paraId="37E80AF3" w14:textId="5BF8DF5F" w:rsidR="0004374B" w:rsidRDefault="0004374B" w:rsidP="00BB1199"/>
          <w:p w14:paraId="759E2A35" w14:textId="4FC62645" w:rsidR="0004374B" w:rsidRDefault="0004374B" w:rsidP="00BB1199"/>
          <w:p w14:paraId="7FB6F802" w14:textId="295567DA" w:rsidR="0004374B" w:rsidRDefault="0004374B" w:rsidP="00BB1199"/>
          <w:p w14:paraId="4C7DEB3D" w14:textId="15B66339" w:rsidR="0004374B" w:rsidRDefault="0004374B" w:rsidP="00BB1199"/>
          <w:p w14:paraId="11092FF1" w14:textId="2880E6CD" w:rsidR="0004374B" w:rsidRDefault="0004374B" w:rsidP="00BB1199"/>
          <w:p w14:paraId="74230D6D" w14:textId="7FC70F52" w:rsidR="0004374B" w:rsidRDefault="0004374B" w:rsidP="00BB1199"/>
          <w:p w14:paraId="12A3BF64" w14:textId="2EF229E2" w:rsidR="0004374B" w:rsidRDefault="0004374B" w:rsidP="00BB1199"/>
          <w:p w14:paraId="1B3D92AE" w14:textId="2430CCF1" w:rsidR="0004374B" w:rsidRDefault="0004374B" w:rsidP="00BB1199"/>
          <w:p w14:paraId="7F330812" w14:textId="7274B76F" w:rsidR="0004374B" w:rsidRDefault="0004374B" w:rsidP="00BB1199"/>
          <w:p w14:paraId="02AE143D" w14:textId="6B4B25D3" w:rsidR="00875AFB" w:rsidRDefault="00875AFB" w:rsidP="00BB1199"/>
          <w:p w14:paraId="3CF6FC4D" w14:textId="6A39EF0F" w:rsidR="00875AFB" w:rsidRDefault="00875AFB" w:rsidP="00BB1199"/>
          <w:p w14:paraId="4B951187" w14:textId="30CE4448" w:rsidR="00875AFB" w:rsidRDefault="00875AFB" w:rsidP="00BB1199"/>
          <w:p w14:paraId="741E48A2" w14:textId="48D55DD2" w:rsidR="00875AFB" w:rsidRDefault="00875AFB" w:rsidP="00BB1199"/>
          <w:p w14:paraId="3C7D1B94" w14:textId="2697D1E3" w:rsidR="00875AFB" w:rsidRDefault="00875AFB" w:rsidP="00BB1199"/>
          <w:p w14:paraId="295BB221" w14:textId="3DCD6C76" w:rsidR="00875AFB" w:rsidRDefault="00875AFB" w:rsidP="00BB1199"/>
          <w:p w14:paraId="0CC6C7DB" w14:textId="40EDDFFF" w:rsidR="00875AFB" w:rsidRDefault="00875AFB" w:rsidP="00BB1199"/>
          <w:p w14:paraId="00B6FF66" w14:textId="0770A3A8" w:rsidR="00875AFB" w:rsidRDefault="00875AFB" w:rsidP="00BB1199"/>
          <w:p w14:paraId="07430EF8" w14:textId="32A20225" w:rsidR="00875AFB" w:rsidRDefault="00875AFB" w:rsidP="00BB1199"/>
          <w:p w14:paraId="0C39108F" w14:textId="043D083F" w:rsidR="00875AFB" w:rsidRDefault="00875AFB" w:rsidP="00BB1199"/>
          <w:p w14:paraId="3471FCE4" w14:textId="13FF882A" w:rsidR="00875AFB" w:rsidRDefault="00875AFB" w:rsidP="00BB1199"/>
          <w:p w14:paraId="4D178079" w14:textId="19A86F8C" w:rsidR="00875AFB" w:rsidRDefault="00875AFB" w:rsidP="00BB1199"/>
          <w:p w14:paraId="6DCC17E3" w14:textId="49BD4AFD" w:rsidR="00875AFB" w:rsidRDefault="00875AFB" w:rsidP="00BB1199"/>
          <w:p w14:paraId="7DF2988F" w14:textId="5ED39F2F" w:rsidR="00875AFB" w:rsidRDefault="00875AFB" w:rsidP="00BB1199"/>
          <w:p w14:paraId="778EA404" w14:textId="36371468" w:rsidR="00875AFB" w:rsidRDefault="00875AFB" w:rsidP="00BB1199"/>
          <w:p w14:paraId="7A16A36F" w14:textId="5188C85E" w:rsidR="00875AFB" w:rsidRDefault="00875AFB" w:rsidP="00BB1199"/>
          <w:p w14:paraId="077B9F7C" w14:textId="2CA209A7" w:rsidR="00875AFB" w:rsidRDefault="00875AFB" w:rsidP="00BB1199"/>
          <w:p w14:paraId="5F590895" w14:textId="75AB2FD1" w:rsidR="00875AFB" w:rsidRDefault="00875AFB" w:rsidP="00BB1199"/>
          <w:p w14:paraId="43565026" w14:textId="614D98F2" w:rsidR="00875AFB" w:rsidRDefault="00875AFB" w:rsidP="00BB1199"/>
          <w:p w14:paraId="78F15F44" w14:textId="5EE0AE5C" w:rsidR="00875AFB" w:rsidRDefault="00875AFB" w:rsidP="00BB1199"/>
          <w:p w14:paraId="6C8DE699" w14:textId="1AD459FF" w:rsidR="00875AFB" w:rsidRDefault="00875AFB" w:rsidP="00BB1199"/>
          <w:p w14:paraId="5F8D3A04" w14:textId="47F79600" w:rsidR="00875AFB" w:rsidRDefault="00875AFB" w:rsidP="00BB1199"/>
          <w:p w14:paraId="00426315" w14:textId="0DDFD162" w:rsidR="00875AFB" w:rsidRDefault="00875AFB" w:rsidP="00BB1199"/>
          <w:p w14:paraId="5E704B48" w14:textId="1504F796" w:rsidR="00875AFB" w:rsidRDefault="00875AFB" w:rsidP="00BB1199"/>
          <w:p w14:paraId="7A9AE6CB" w14:textId="2394E785" w:rsidR="00875AFB" w:rsidRDefault="00875AFB" w:rsidP="00BB1199"/>
          <w:p w14:paraId="228290D7" w14:textId="05FB5270" w:rsidR="00875AFB" w:rsidRDefault="00875AFB" w:rsidP="00BB1199"/>
          <w:p w14:paraId="15964D5C" w14:textId="42227E84" w:rsidR="00875AFB" w:rsidRDefault="00875AFB" w:rsidP="00BB1199"/>
          <w:p w14:paraId="405C5B5B" w14:textId="32297DE3" w:rsidR="00875AFB" w:rsidRDefault="00875AFB" w:rsidP="00BB1199"/>
          <w:p w14:paraId="7CCF4068" w14:textId="35E6D8E8" w:rsidR="00875AFB" w:rsidRDefault="00875AFB" w:rsidP="00BB1199"/>
          <w:p w14:paraId="741C1152" w14:textId="73D17D35" w:rsidR="00875AFB" w:rsidRDefault="00875AFB" w:rsidP="00BB1199"/>
          <w:p w14:paraId="46BD555C" w14:textId="6880950B" w:rsidR="00875AFB" w:rsidRDefault="00875AFB" w:rsidP="00BB1199"/>
          <w:p w14:paraId="6513B10D" w14:textId="77777777" w:rsidR="00875AFB" w:rsidRPr="00B0586F" w:rsidRDefault="00875AFB" w:rsidP="00875AFB">
            <w:pPr>
              <w:rPr>
                <w:b/>
                <w:bCs/>
              </w:rPr>
            </w:pPr>
            <w:r w:rsidRPr="00B0586F">
              <w:rPr>
                <w:b/>
                <w:bCs/>
              </w:rPr>
              <w:t>JUPEMA/SUPEN</w:t>
            </w:r>
          </w:p>
          <w:p w14:paraId="3F7C2613" w14:textId="4B448C11" w:rsidR="00875AFB" w:rsidRPr="005533F1" w:rsidRDefault="00875AFB" w:rsidP="00875AFB">
            <w:r w:rsidRPr="00B0586F">
              <w:t>Las normas</w:t>
            </w:r>
            <w:r w:rsidRPr="005533F1">
              <w:t xml:space="preserve"> reglamentarias </w:t>
            </w:r>
            <w:r>
              <w:t xml:space="preserve">aplican en forma complementaria a las disposiciones establecidas en la ley No. 7531, de manera que, cuando </w:t>
            </w:r>
            <w:r w:rsidRPr="00504FAB">
              <w:t xml:space="preserve">las inversiones en moneda extranjera </w:t>
            </w:r>
            <w:r>
              <w:t xml:space="preserve">el fondo </w:t>
            </w:r>
            <w:r>
              <w:t xml:space="preserve">sobrepasen el </w:t>
            </w:r>
            <w:r>
              <w:t>porcentaje establecido en el artículo 15, deberán cubrirse.</w:t>
            </w:r>
          </w:p>
          <w:p w14:paraId="18CD8564" w14:textId="77777777" w:rsidR="00875AFB" w:rsidRDefault="00875AFB" w:rsidP="00875AFB">
            <w:pPr>
              <w:rPr>
                <w:b/>
                <w:bCs/>
              </w:rPr>
            </w:pPr>
          </w:p>
          <w:p w14:paraId="27E2B30B" w14:textId="77777777" w:rsidR="00875AFB" w:rsidRDefault="00875AFB" w:rsidP="00BB1199"/>
          <w:p w14:paraId="4A5324F9" w14:textId="72BE4DCE" w:rsidR="0004374B" w:rsidRDefault="0004374B" w:rsidP="00BB1199"/>
          <w:p w14:paraId="09BBC084" w14:textId="02D531FE" w:rsidR="0004374B" w:rsidRDefault="0004374B" w:rsidP="00BB1199"/>
          <w:p w14:paraId="47EB8CED" w14:textId="328A4E05" w:rsidR="0004374B" w:rsidRDefault="0004374B" w:rsidP="00BB1199"/>
          <w:p w14:paraId="7EDFF233" w14:textId="705B8D4E" w:rsidR="0004374B" w:rsidRDefault="0004374B" w:rsidP="00BB1199"/>
          <w:p w14:paraId="0348D011" w14:textId="1B62D0DA" w:rsidR="0004374B" w:rsidRDefault="0004374B" w:rsidP="00BB1199"/>
          <w:p w14:paraId="38F30946" w14:textId="5EB7973F" w:rsidR="0004374B" w:rsidRDefault="0004374B" w:rsidP="00BB1199"/>
          <w:p w14:paraId="44323D67" w14:textId="566A7960" w:rsidR="0004374B" w:rsidRDefault="0004374B" w:rsidP="00BB1199"/>
          <w:p w14:paraId="4DBF335D" w14:textId="3B22484F" w:rsidR="0004374B" w:rsidRDefault="0004374B" w:rsidP="00BB1199"/>
          <w:p w14:paraId="2D3CCA27" w14:textId="102410A3" w:rsidR="0004374B" w:rsidRDefault="0004374B" w:rsidP="00BB1199"/>
          <w:p w14:paraId="529F0838" w14:textId="3A0B1F5D" w:rsidR="0004374B" w:rsidRDefault="0004374B" w:rsidP="00BB1199"/>
          <w:p w14:paraId="57BF1683" w14:textId="58CF96BA" w:rsidR="0004374B" w:rsidRDefault="0004374B" w:rsidP="00BB1199"/>
          <w:p w14:paraId="2ED63011" w14:textId="69FED57D" w:rsidR="0004374B" w:rsidRDefault="0004374B" w:rsidP="00BB1199"/>
          <w:p w14:paraId="70510A07" w14:textId="6FFAA4C7" w:rsidR="0004374B" w:rsidRDefault="0004374B" w:rsidP="00BB1199"/>
          <w:p w14:paraId="7D905868" w14:textId="259C8033" w:rsidR="0004374B" w:rsidRDefault="0004374B" w:rsidP="00BB1199"/>
          <w:p w14:paraId="7FEEE616" w14:textId="0AFDD7BA" w:rsidR="0004374B" w:rsidRDefault="0004374B" w:rsidP="00BB1199"/>
          <w:p w14:paraId="4749A641" w14:textId="6F7BE17B" w:rsidR="0004374B" w:rsidRDefault="0004374B" w:rsidP="00BB1199"/>
          <w:p w14:paraId="7E860BAA" w14:textId="777A6CD2" w:rsidR="0004374B" w:rsidRDefault="0004374B" w:rsidP="00BB1199"/>
          <w:p w14:paraId="2EAD9C11" w14:textId="554901AE" w:rsidR="0004374B" w:rsidRDefault="0004374B" w:rsidP="00BB1199"/>
          <w:p w14:paraId="6CD25151" w14:textId="5B8679D9" w:rsidR="0004374B" w:rsidRDefault="0004374B" w:rsidP="00BB1199"/>
          <w:p w14:paraId="50FD698D" w14:textId="24C71965" w:rsidR="0004374B" w:rsidRDefault="0004374B" w:rsidP="00BB1199"/>
          <w:p w14:paraId="05260300" w14:textId="1E4DB92B" w:rsidR="0004374B" w:rsidRDefault="0004374B" w:rsidP="00BB1199"/>
          <w:p w14:paraId="26C579DE" w14:textId="00E10BED" w:rsidR="0004374B" w:rsidRDefault="0004374B" w:rsidP="00BB1199"/>
          <w:p w14:paraId="54932125" w14:textId="2B6B5C10" w:rsidR="0004374B" w:rsidRDefault="0004374B" w:rsidP="00BB1199"/>
          <w:p w14:paraId="50B7AC07" w14:textId="314F56B2" w:rsidR="0004374B" w:rsidRDefault="0004374B" w:rsidP="00BB1199"/>
          <w:p w14:paraId="4BBDAF73" w14:textId="47009EE0" w:rsidR="0004374B" w:rsidRDefault="0004374B" w:rsidP="00BB1199"/>
          <w:p w14:paraId="7DDBD7E1" w14:textId="75F5D124" w:rsidR="0004374B" w:rsidRDefault="0004374B" w:rsidP="00BB1199"/>
          <w:p w14:paraId="72653C66" w14:textId="30CB0BAB" w:rsidR="0004374B" w:rsidRDefault="0004374B" w:rsidP="00BB1199"/>
          <w:p w14:paraId="788B6746" w14:textId="1705E590" w:rsidR="0004374B" w:rsidRDefault="0004374B" w:rsidP="00BB1199"/>
          <w:p w14:paraId="584485F9" w14:textId="57D4984B" w:rsidR="0004374B" w:rsidRDefault="0004374B" w:rsidP="00BB1199"/>
          <w:p w14:paraId="11E3523C" w14:textId="58D68B3B" w:rsidR="0004374B" w:rsidRDefault="0004374B" w:rsidP="00BB1199"/>
          <w:p w14:paraId="39A8428E" w14:textId="070E1F8D" w:rsidR="0004374B" w:rsidRDefault="0004374B" w:rsidP="00BB1199"/>
          <w:p w14:paraId="43DD0F28" w14:textId="129B4E72" w:rsidR="0004374B" w:rsidRDefault="0004374B" w:rsidP="00BB1199"/>
          <w:p w14:paraId="6B1D27E1" w14:textId="588FD2FB" w:rsidR="0004374B" w:rsidRDefault="0004374B" w:rsidP="00BB1199"/>
          <w:p w14:paraId="209DC4EC" w14:textId="5F984E20" w:rsidR="0004374B" w:rsidRDefault="0004374B" w:rsidP="00BB1199"/>
          <w:p w14:paraId="70FA0AE6" w14:textId="4380FB43" w:rsidR="0004374B" w:rsidRDefault="0004374B" w:rsidP="00BB1199"/>
          <w:p w14:paraId="46340DC9" w14:textId="5601A6B1" w:rsidR="0004374B" w:rsidRDefault="0004374B" w:rsidP="00BB1199"/>
          <w:p w14:paraId="1864C9DE" w14:textId="6DA0FCE6" w:rsidR="0004374B" w:rsidRDefault="0004374B" w:rsidP="00BB1199"/>
          <w:p w14:paraId="5412E6AF" w14:textId="7428AD66" w:rsidR="0004374B" w:rsidRDefault="0004374B" w:rsidP="00BB1199"/>
          <w:p w14:paraId="57911C7D" w14:textId="74FEB9C1" w:rsidR="0004374B" w:rsidRDefault="0004374B" w:rsidP="00BB1199"/>
          <w:p w14:paraId="6B2912DA" w14:textId="21C52B36" w:rsidR="0004374B" w:rsidRDefault="0004374B" w:rsidP="00BB1199"/>
          <w:p w14:paraId="24176D64" w14:textId="31CC66B4" w:rsidR="0004374B" w:rsidRDefault="0004374B" w:rsidP="00BB1199"/>
          <w:p w14:paraId="7DB567CB" w14:textId="77777777" w:rsidR="00C92815" w:rsidRPr="00FA3030" w:rsidRDefault="00B6403F" w:rsidP="00BB1199">
            <w:pPr>
              <w:rPr>
                <w:b/>
                <w:bCs/>
              </w:rPr>
            </w:pPr>
            <w:r w:rsidRPr="00FA3030">
              <w:rPr>
                <w:b/>
                <w:bCs/>
              </w:rPr>
              <w:t>Fondo ICE/SUPEN</w:t>
            </w:r>
          </w:p>
          <w:p w14:paraId="335BDBE5" w14:textId="77777777" w:rsidR="002B4BED" w:rsidRDefault="002B4BED" w:rsidP="002B4BED">
            <w:r>
              <w:t xml:space="preserve">Las inversiones en moneda extranjera están expuestas al riesgo cambiario. Los fondos de pensiones denominados en colones que tienen inversiones en moneda extranjera pueden verse afectados financieramente ante escenarios de apreciación de la moneda local, especialmente para el segmento de personas pensionadas o próximas a estarlo. </w:t>
            </w:r>
            <w:r>
              <w:lastRenderedPageBreak/>
              <w:t>Por diversas razones económicas y financieras, tanto internas como externas, los episodios de apreciación del colón son observables y el 2022 es un ejemplo de esto. Es prudente establecer mecanismos de mitigación del riesgo cambiario para los recursos de afiliados y pensionados, mediante el uso de instrumentos de cobertura. La práctica de aplicar límites de inversión en moneda extranjera mediante el uso de coberturas cambiarias está presente en la región, habiendo sido utilizada por países como Chile y Colombia, en la línea de permitir cierto nivel de inversión en moneda extranjera sin cobertura.</w:t>
            </w:r>
          </w:p>
          <w:p w14:paraId="660FB17D" w14:textId="77777777" w:rsidR="002B4BED" w:rsidRDefault="002B4BED" w:rsidP="002B4BED"/>
          <w:p w14:paraId="0318E553" w14:textId="77777777" w:rsidR="00D46529" w:rsidRDefault="002B4BED" w:rsidP="002B4BED">
            <w:r>
              <w:t xml:space="preserve">El artículo 62 de la Ley de Protección de Trabajador permite, en cumplimiento de condiciones, la inversión de los fondos de pensión en valores de emisiones extranjeras hasta en un 50% de activo total administrado. Con datos a setiembre 2022, aproximadamente un </w:t>
            </w:r>
            <w:r>
              <w:lastRenderedPageBreak/>
              <w:t>tercio de las inversiones del Régimen Obligatorio de Pensiones Complementarias están ubicado en emisiones extranjeras y la posición en moneda extranjera es cercana al 40% de las inversiones totales. Las medidas reglamentarias de coberturas cambiarias para fondos de pensión deben considerar la diversificación de los riesgos y la estabilidad de las inversiones, por lo que su aplicación debe considerar una caracterización vigente de los recursos invertidos y plazos suficientes de ajuste y desarrollo.</w:t>
            </w:r>
          </w:p>
          <w:p w14:paraId="6D225D9E" w14:textId="77777777" w:rsidR="002B4BED" w:rsidRPr="00DA1136" w:rsidRDefault="002B4BED" w:rsidP="00D46529"/>
          <w:p w14:paraId="5A6E66A4" w14:textId="77777777" w:rsidR="00B26BFB" w:rsidRDefault="00B26BFB" w:rsidP="00D46529">
            <w:r w:rsidRPr="00DA1136">
              <w:t>Se ajusta el</w:t>
            </w:r>
            <w:r w:rsidR="00EA2A0C" w:rsidRPr="00DA1136">
              <w:t xml:space="preserve"> </w:t>
            </w:r>
            <w:r w:rsidR="0045346C" w:rsidRPr="00DA1136">
              <w:t xml:space="preserve">porcentaje a partir del cual </w:t>
            </w:r>
            <w:r w:rsidR="00D56FD5" w:rsidRPr="00DA1136">
              <w:t>deben utilizarse coberturas de tipo de cambio de un 40% a un 50%</w:t>
            </w:r>
            <w:r w:rsidR="00C76191" w:rsidRPr="00DA1136">
              <w:t xml:space="preserve"> </w:t>
            </w:r>
            <w:r w:rsidR="00A14772" w:rsidRPr="00DA1136">
              <w:t>del valor de los activos del fondo</w:t>
            </w:r>
            <w:r w:rsidR="008E6E9D">
              <w:t xml:space="preserve"> y se brinda un transitorio de 18 meses</w:t>
            </w:r>
            <w:r w:rsidR="00352BA6">
              <w:t>.</w:t>
            </w:r>
          </w:p>
          <w:p w14:paraId="5864963E" w14:textId="77777777" w:rsidR="00352BA6" w:rsidRDefault="00352BA6" w:rsidP="00D46529"/>
          <w:p w14:paraId="25E49B3F" w14:textId="77777777" w:rsidR="00352BA6" w:rsidRPr="00DA1136" w:rsidRDefault="00352BA6" w:rsidP="00352BA6">
            <w:r w:rsidRPr="00DA1136">
              <w:t xml:space="preserve">Se eliminan, en el texto definitivo, las coberturas sobre los flujos de pago a los afiliados y pensionados, por concepto de pensión, retiros y libre </w:t>
            </w:r>
            <w:r w:rsidRPr="00DA1136">
              <w:lastRenderedPageBreak/>
              <w:t>transferencia. El Reglamento de gestión de activos (artículo 31), así como prácticas internacionales van en la línea de las inversiones existentes y no en flujos esperado.</w:t>
            </w:r>
          </w:p>
          <w:p w14:paraId="4E2487BE" w14:textId="77777777" w:rsidR="007A61E7" w:rsidRPr="00DA1136" w:rsidRDefault="00352BA6" w:rsidP="00BB1199">
            <w:r>
              <w:t xml:space="preserve"> </w:t>
            </w:r>
          </w:p>
          <w:p w14:paraId="6A786547" w14:textId="77777777" w:rsidR="00664FB2" w:rsidRPr="00FA3030" w:rsidRDefault="00664FB2" w:rsidP="00BB1199">
            <w:pPr>
              <w:rPr>
                <w:b/>
                <w:bCs/>
              </w:rPr>
            </w:pPr>
            <w:r w:rsidRPr="00FA3030">
              <w:rPr>
                <w:b/>
                <w:bCs/>
              </w:rPr>
              <w:t>BNCR</w:t>
            </w:r>
            <w:r w:rsidR="00700A9F" w:rsidRPr="00FA3030">
              <w:rPr>
                <w:b/>
                <w:bCs/>
              </w:rPr>
              <w:t>/SUPEN</w:t>
            </w:r>
          </w:p>
          <w:p w14:paraId="27D24C28" w14:textId="77777777" w:rsidR="00B667E2" w:rsidRPr="00DA1136" w:rsidRDefault="0068646C" w:rsidP="00BB1199">
            <w:r w:rsidRPr="00DA1136">
              <w:t>Se eliminan</w:t>
            </w:r>
            <w:r w:rsidR="00896C60" w:rsidRPr="00DA1136">
              <w:t xml:space="preserve">, en el texto definitivo, </w:t>
            </w:r>
            <w:r w:rsidRPr="00DA1136">
              <w:t>las coberturas sobre los flujos de pago a los afiliados y pensionados, por concepto de pensión, retiros y libre transferencia.</w:t>
            </w:r>
            <w:r w:rsidR="00437BDB" w:rsidRPr="00DA1136">
              <w:t xml:space="preserve"> El Reglamento de gestión de activos</w:t>
            </w:r>
            <w:r w:rsidR="002B048F" w:rsidRPr="00DA1136">
              <w:t xml:space="preserve"> (artículo 31)</w:t>
            </w:r>
            <w:r w:rsidR="00C279C9" w:rsidRPr="00DA1136">
              <w:t xml:space="preserve">, así </w:t>
            </w:r>
            <w:r w:rsidR="008B4942" w:rsidRPr="00DA1136">
              <w:t>como</w:t>
            </w:r>
            <w:r w:rsidR="00437BDB" w:rsidRPr="00DA1136">
              <w:t xml:space="preserve"> prácticas internacionales van en la línea de las inversiones</w:t>
            </w:r>
            <w:r w:rsidR="006D5EBE" w:rsidRPr="00DA1136">
              <w:t xml:space="preserve"> existentes</w:t>
            </w:r>
            <w:r w:rsidR="007A61E7" w:rsidRPr="00DA1136">
              <w:t xml:space="preserve"> y no en flujos esperado</w:t>
            </w:r>
            <w:r w:rsidR="002B048F" w:rsidRPr="00DA1136">
              <w:t>.</w:t>
            </w:r>
          </w:p>
          <w:p w14:paraId="49C05B92" w14:textId="77777777" w:rsidR="00291BDF" w:rsidRPr="00DA1136" w:rsidRDefault="00291BDF" w:rsidP="00BB1199"/>
          <w:p w14:paraId="7385BCFD" w14:textId="77777777" w:rsidR="00E34D8F" w:rsidRPr="00DA1136" w:rsidRDefault="00896C60" w:rsidP="00BB1199">
            <w:r w:rsidRPr="00DA1136">
              <w:t>El tipo de cambio que se utiliza es el de compra.</w:t>
            </w:r>
          </w:p>
          <w:p w14:paraId="6CB024A7" w14:textId="77777777" w:rsidR="00E34D8F" w:rsidRPr="00DA1136" w:rsidRDefault="00E34D8F" w:rsidP="00BB1199">
            <w:r w:rsidRPr="00DA1136">
              <w:t>En relación con los retiros, ver</w:t>
            </w:r>
            <w:r w:rsidR="0070491D" w:rsidRPr="00DA1136">
              <w:t xml:space="preserve"> </w:t>
            </w:r>
            <w:r w:rsidRPr="00DA1136">
              <w:t>comentario anterior.</w:t>
            </w:r>
          </w:p>
          <w:p w14:paraId="3C7B067E" w14:textId="77777777" w:rsidR="0070491D" w:rsidRPr="00DA1136" w:rsidRDefault="0070491D" w:rsidP="00BB1199"/>
          <w:p w14:paraId="56B4D1EF" w14:textId="77777777" w:rsidR="0070491D" w:rsidRPr="00DA1136" w:rsidRDefault="0070491D" w:rsidP="00BB1199"/>
          <w:p w14:paraId="71E6A692" w14:textId="77777777" w:rsidR="0070491D" w:rsidRPr="00DA1136" w:rsidRDefault="0070491D" w:rsidP="00BB1199"/>
          <w:p w14:paraId="38912CB2" w14:textId="77777777" w:rsidR="0070491D" w:rsidRPr="00DA1136" w:rsidRDefault="0070491D" w:rsidP="00BB1199"/>
          <w:p w14:paraId="346C73AB" w14:textId="77777777" w:rsidR="0070491D" w:rsidRPr="00DA1136" w:rsidRDefault="0070491D" w:rsidP="00BB1199"/>
          <w:p w14:paraId="3F9E3A24" w14:textId="77777777" w:rsidR="0070491D" w:rsidRPr="00DA1136" w:rsidRDefault="0070491D" w:rsidP="00BB1199"/>
          <w:p w14:paraId="34295ACF" w14:textId="77777777" w:rsidR="0070491D" w:rsidRPr="00DA1136" w:rsidRDefault="0070491D" w:rsidP="00BB1199"/>
          <w:p w14:paraId="318D87F9" w14:textId="77777777" w:rsidR="0070491D" w:rsidRPr="00DA1136" w:rsidRDefault="0070491D" w:rsidP="00BB1199"/>
          <w:p w14:paraId="1DA62DF5" w14:textId="77777777" w:rsidR="0070491D" w:rsidRPr="00DA1136" w:rsidRDefault="0070491D" w:rsidP="00BB1199"/>
          <w:p w14:paraId="0B3DC2F5" w14:textId="77777777" w:rsidR="0070491D" w:rsidRPr="00DA1136" w:rsidRDefault="0070491D" w:rsidP="00BB1199"/>
          <w:p w14:paraId="5B6CF842" w14:textId="77777777" w:rsidR="0070491D" w:rsidRPr="00DA1136" w:rsidRDefault="0070491D" w:rsidP="00BB1199"/>
          <w:p w14:paraId="7E7CF236" w14:textId="77777777" w:rsidR="0070491D" w:rsidRPr="00DA1136" w:rsidRDefault="0070491D" w:rsidP="00BB1199"/>
          <w:p w14:paraId="1A64F396" w14:textId="77777777" w:rsidR="0070491D" w:rsidRPr="00DA1136" w:rsidRDefault="0070491D" w:rsidP="00BB1199"/>
          <w:p w14:paraId="2DE17F9C" w14:textId="77777777" w:rsidR="00A97886" w:rsidRPr="00DA1136" w:rsidRDefault="00A97886" w:rsidP="0070491D"/>
          <w:p w14:paraId="3EE94D67" w14:textId="77777777" w:rsidR="00291BDF" w:rsidRDefault="00291BDF" w:rsidP="00BB1199"/>
          <w:p w14:paraId="174B3812" w14:textId="77777777" w:rsidR="00055F33" w:rsidRDefault="00055F33" w:rsidP="00BB1199"/>
          <w:p w14:paraId="3BB2C13D" w14:textId="77777777" w:rsidR="00055F33" w:rsidRPr="00DA1136" w:rsidRDefault="00055F33" w:rsidP="00BB1199"/>
          <w:p w14:paraId="53AC0B90" w14:textId="77777777" w:rsidR="004237DA" w:rsidRDefault="0043167D" w:rsidP="00BB1199">
            <w:r w:rsidRPr="00DA1136">
              <w:t>La cobertura es para el fondo de pensiones y</w:t>
            </w:r>
            <w:r w:rsidR="006251A4" w:rsidRPr="00DA1136">
              <w:t xml:space="preserve"> por su naturaleza,</w:t>
            </w:r>
            <w:r w:rsidRPr="00DA1136">
              <w:t xml:space="preserve"> es posible que</w:t>
            </w:r>
            <w:r w:rsidR="006251A4" w:rsidRPr="00DA1136">
              <w:t xml:space="preserve"> hay cambios de valor en el activo que busca cubrir el derivado financiero.</w:t>
            </w:r>
          </w:p>
          <w:p w14:paraId="0A447B51" w14:textId="77777777" w:rsidR="00EF695D" w:rsidRPr="00DA1136" w:rsidRDefault="00EF695D" w:rsidP="00BB1199">
            <w:r>
              <w:t>Favor ver un comentario posterior sobre el costo de los derivados.</w:t>
            </w:r>
          </w:p>
          <w:p w14:paraId="003B8A67" w14:textId="77777777" w:rsidR="00577997" w:rsidRPr="00DA1136" w:rsidRDefault="004237DA" w:rsidP="00BB1199">
            <w:r w:rsidRPr="00DA1136">
              <w:t>Adicionalmente, l</w:t>
            </w:r>
            <w:r w:rsidR="000E2DA1" w:rsidRPr="00DA1136">
              <w:t xml:space="preserve">os gestores </w:t>
            </w:r>
            <w:r w:rsidR="00577997" w:rsidRPr="00DA1136">
              <w:t xml:space="preserve">siempre deberán </w:t>
            </w:r>
            <w:r w:rsidR="000E2DA1" w:rsidRPr="00DA1136">
              <w:t>valorar la efectividad de la</w:t>
            </w:r>
            <w:r w:rsidR="00577997" w:rsidRPr="00DA1136">
              <w:t>s</w:t>
            </w:r>
            <w:r w:rsidR="000E2DA1" w:rsidRPr="00DA1136">
              <w:t xml:space="preserve"> cobertura</w:t>
            </w:r>
            <w:r w:rsidR="00577997" w:rsidRPr="00DA1136">
              <w:t>s</w:t>
            </w:r>
            <w:r w:rsidR="000E2DA1" w:rsidRPr="00DA1136">
              <w:t>.</w:t>
            </w:r>
            <w:r w:rsidR="00EA0BB4" w:rsidRPr="00DA1136">
              <w:t xml:space="preserve"> </w:t>
            </w:r>
          </w:p>
          <w:p w14:paraId="073938D6" w14:textId="77777777" w:rsidR="00291BDF" w:rsidRPr="00DA1136" w:rsidRDefault="00291BDF" w:rsidP="00BB1199"/>
          <w:p w14:paraId="39460BB0" w14:textId="77777777" w:rsidR="0025113A" w:rsidRPr="00DA1136" w:rsidRDefault="006D5EBE" w:rsidP="00BB1199">
            <w:r w:rsidRPr="00DA1136">
              <w:t>Tal como se indicó anteriormente, s</w:t>
            </w:r>
            <w:r w:rsidR="0025113A" w:rsidRPr="00DA1136">
              <w:t xml:space="preserve">e elimina en el texto final las coberturas sobre los </w:t>
            </w:r>
            <w:r w:rsidR="00F64E60" w:rsidRPr="00DA1136">
              <w:t>flujos.</w:t>
            </w:r>
          </w:p>
          <w:p w14:paraId="4F3B2BA7" w14:textId="77777777" w:rsidR="00374EE2" w:rsidRPr="00DA1136" w:rsidRDefault="00374EE2" w:rsidP="00BB1199"/>
          <w:p w14:paraId="2C069696" w14:textId="77777777" w:rsidR="009B618C" w:rsidRPr="00DA1136" w:rsidRDefault="009B618C" w:rsidP="00F35C3C"/>
          <w:p w14:paraId="13CBC812" w14:textId="77777777" w:rsidR="009B618C" w:rsidRPr="00DA1136" w:rsidRDefault="009B618C" w:rsidP="00F35C3C"/>
          <w:p w14:paraId="0BC70A46" w14:textId="77777777" w:rsidR="009B618C" w:rsidRPr="00DA1136" w:rsidRDefault="009B618C" w:rsidP="00F35C3C"/>
          <w:p w14:paraId="6DE1C797" w14:textId="77777777" w:rsidR="009B618C" w:rsidRPr="00DA1136" w:rsidRDefault="009B618C" w:rsidP="00F35C3C"/>
          <w:p w14:paraId="09B2D37C" w14:textId="77777777" w:rsidR="009B618C" w:rsidRPr="00DA1136" w:rsidRDefault="009B618C" w:rsidP="00F35C3C"/>
          <w:p w14:paraId="2C67F79E" w14:textId="77777777" w:rsidR="009B618C" w:rsidRPr="00DA1136" w:rsidRDefault="009B618C" w:rsidP="00F35C3C"/>
          <w:p w14:paraId="2B932B63" w14:textId="77777777" w:rsidR="009B618C" w:rsidRPr="00DA1136" w:rsidRDefault="009B618C" w:rsidP="00F35C3C"/>
          <w:p w14:paraId="47F43747" w14:textId="77777777" w:rsidR="008E6E9D" w:rsidRPr="00DA1136" w:rsidRDefault="008E6E9D" w:rsidP="00BB1199"/>
          <w:p w14:paraId="7EF96F1D" w14:textId="77777777" w:rsidR="00EE525F" w:rsidRPr="00DA1136" w:rsidRDefault="00813BF8" w:rsidP="00BB1199">
            <w:r w:rsidRPr="00DA1136">
              <w:t>Como se indicó previamente, l</w:t>
            </w:r>
            <w:r w:rsidR="00F35C3C" w:rsidRPr="00DA1136">
              <w:t xml:space="preserve">as coberturas se </w:t>
            </w:r>
            <w:r w:rsidRPr="00DA1136">
              <w:t xml:space="preserve">plantean para las inversiones, </w:t>
            </w:r>
            <w:r w:rsidR="00D4032D" w:rsidRPr="00DA1136">
              <w:t xml:space="preserve">cuando se exceda el </w:t>
            </w:r>
            <w:r w:rsidRPr="00DA1136">
              <w:t xml:space="preserve">umbral del </w:t>
            </w:r>
            <w:r w:rsidR="00D4032D" w:rsidRPr="00DA1136">
              <w:t>50%</w:t>
            </w:r>
            <w:r w:rsidR="00BD309E">
              <w:t xml:space="preserve"> y se tendrá un transitorio</w:t>
            </w:r>
            <w:r w:rsidR="00C45848" w:rsidRPr="00DA1136">
              <w:t>.</w:t>
            </w:r>
            <w:r w:rsidR="00D4032D" w:rsidRPr="00DA1136">
              <w:t xml:space="preserve"> </w:t>
            </w:r>
          </w:p>
          <w:p w14:paraId="4228A0F3" w14:textId="77777777" w:rsidR="003A3ECA" w:rsidRPr="00DA1136" w:rsidRDefault="00EF05C2" w:rsidP="00EB7860">
            <w:r w:rsidRPr="00DA1136">
              <w:lastRenderedPageBreak/>
              <w:t>La gestión de la parte descubierta debe ser permanente.</w:t>
            </w:r>
          </w:p>
          <w:p w14:paraId="2BB35608" w14:textId="77777777" w:rsidR="00EB7860" w:rsidRPr="00DA1136" w:rsidRDefault="00DB7BE6" w:rsidP="00EB7860">
            <w:r w:rsidRPr="00DA1136">
              <w:t>Se agrega que</w:t>
            </w:r>
            <w:r w:rsidR="00EB7860" w:rsidRPr="00DA1136">
              <w:t xml:space="preserve"> el artículo 22, inciso a), del </w:t>
            </w:r>
            <w:r w:rsidR="00EB7860" w:rsidRPr="00DA1136">
              <w:rPr>
                <w:i/>
                <w:iCs/>
              </w:rPr>
              <w:t>Reglamento de Gestión de Activos</w:t>
            </w:r>
            <w:r w:rsidR="00EB7860" w:rsidRPr="00DA1136">
              <w:t xml:space="preserve">, establece que: </w:t>
            </w:r>
            <w:r w:rsidR="00EB7860" w:rsidRPr="00DA1136">
              <w:rPr>
                <w:i/>
                <w:iCs/>
              </w:rPr>
              <w:t>“Previo a efectuar operaciones de cobertura, la entidad regulada debe cumplir con los siguientes requisitos:</w:t>
            </w:r>
          </w:p>
          <w:p w14:paraId="19F83CE3" w14:textId="77777777" w:rsidR="00EB7860" w:rsidRPr="00DA1136" w:rsidRDefault="00EB7860" w:rsidP="00EB7860">
            <w:pPr>
              <w:rPr>
                <w:i/>
                <w:iCs/>
              </w:rPr>
            </w:pPr>
            <w:r w:rsidRPr="00DA1136">
              <w:rPr>
                <w:i/>
                <w:iCs/>
              </w:rPr>
              <w:t xml:space="preserve">a. </w:t>
            </w:r>
            <w:r w:rsidRPr="00DA1136">
              <w:rPr>
                <w:i/>
                <w:iCs/>
                <w:u w:val="single"/>
              </w:rPr>
              <w:t>Procedimientos</w:t>
            </w:r>
            <w:r w:rsidRPr="00DA1136">
              <w:rPr>
                <w:i/>
                <w:iCs/>
              </w:rPr>
              <w:t xml:space="preserve"> para llevar a cabo las operaciones con derivados </w:t>
            </w:r>
            <w:r w:rsidRPr="00DA1136">
              <w:rPr>
                <w:i/>
                <w:iCs/>
                <w:u w:val="single"/>
              </w:rPr>
              <w:t>y su valoración</w:t>
            </w:r>
            <w:r w:rsidRPr="00DA1136">
              <w:rPr>
                <w:i/>
                <w:iCs/>
              </w:rPr>
              <w:t>, los cuales establezcan mecanismos de control adecuados, y de información hacia el Órgano de Dirección, Alta Gerencia y los Comités de Inversión y de Riesgos.”</w:t>
            </w:r>
          </w:p>
          <w:p w14:paraId="63448AFB" w14:textId="77777777" w:rsidR="00A7412A" w:rsidRPr="00DA1136" w:rsidRDefault="00A7412A" w:rsidP="00EB7860"/>
          <w:p w14:paraId="5794BA11" w14:textId="77777777" w:rsidR="00084CEA" w:rsidRPr="00DA1136" w:rsidRDefault="00084CEA" w:rsidP="00EB7860">
            <w:r w:rsidRPr="00DA1136">
              <w:t>Son las inversiones en moneda extranjera que superen el umbral definido.</w:t>
            </w:r>
          </w:p>
          <w:p w14:paraId="7FB2F3D1" w14:textId="77777777" w:rsidR="00084CEA" w:rsidRPr="00DA1136" w:rsidRDefault="00084CEA" w:rsidP="00EB7860"/>
          <w:p w14:paraId="0F408A5F" w14:textId="77777777" w:rsidR="00084CEA" w:rsidRPr="00DA1136" w:rsidRDefault="00084CEA" w:rsidP="00EB7860"/>
          <w:p w14:paraId="3A09124A" w14:textId="77777777" w:rsidR="00084CEA" w:rsidRPr="00DA1136" w:rsidRDefault="00084CEA" w:rsidP="00EB7860"/>
          <w:p w14:paraId="090F6812" w14:textId="77777777" w:rsidR="00084CEA" w:rsidRPr="00DA1136" w:rsidRDefault="00084CEA" w:rsidP="00EB7860"/>
          <w:p w14:paraId="2F181D15" w14:textId="77777777" w:rsidR="00084CEA" w:rsidRPr="00DA1136" w:rsidRDefault="00745B05" w:rsidP="00EB7860">
            <w:r w:rsidRPr="00DA1136">
              <w:t>Efectivamente, deben contratarse para cada fondo administrado.</w:t>
            </w:r>
          </w:p>
          <w:p w14:paraId="4B207E5A" w14:textId="77777777" w:rsidR="00745B05" w:rsidRPr="00DA1136" w:rsidRDefault="00745B05" w:rsidP="00EB7860"/>
          <w:p w14:paraId="389C26BA" w14:textId="77777777" w:rsidR="00745B05" w:rsidRPr="00DA1136" w:rsidRDefault="00745B05" w:rsidP="00EB7860"/>
          <w:p w14:paraId="598673DA" w14:textId="77777777" w:rsidR="00745B05" w:rsidRPr="00DA1136" w:rsidRDefault="00745B05" w:rsidP="00EB7860"/>
          <w:p w14:paraId="16175A93" w14:textId="77777777" w:rsidR="00745B05" w:rsidRPr="00DA1136" w:rsidRDefault="00745B05" w:rsidP="00EB7860"/>
          <w:p w14:paraId="18FA6DDB" w14:textId="77777777" w:rsidR="00745B05" w:rsidRPr="00DA1136" w:rsidRDefault="00745B05" w:rsidP="00EB7860"/>
          <w:p w14:paraId="5A5523BA" w14:textId="77777777" w:rsidR="00745B05" w:rsidRPr="00DA1136" w:rsidRDefault="00745B05" w:rsidP="00EB7860"/>
          <w:p w14:paraId="0F48871E" w14:textId="77777777" w:rsidR="00A7412A" w:rsidRPr="00DA1136" w:rsidRDefault="00A7412A" w:rsidP="00EB7860"/>
          <w:p w14:paraId="6C7436A1" w14:textId="77777777" w:rsidR="00D422B8" w:rsidRPr="00DA1136" w:rsidRDefault="00D422B8" w:rsidP="00A7412A">
            <w:r w:rsidRPr="00DA1136">
              <w:lastRenderedPageBreak/>
              <w:t>Según la NIF 9, debe realizarse la estimación por pérdidas esperadas, según el modelo de negocio definido por la entidad para el correspondiente fondo (valoración con cambios a resultados, en cuyo caso no se hace esta estimación; valoración con cambios al ORI, donde sí requiere la estimación por pérdidas esperadas; y, costo amortizado (donde el efecto va a resultados, sin valoración).</w:t>
            </w:r>
          </w:p>
          <w:p w14:paraId="4160A930" w14:textId="77777777" w:rsidR="00950BC2" w:rsidRPr="00DA1136" w:rsidRDefault="00950BC2" w:rsidP="00EB7860"/>
          <w:p w14:paraId="34476317" w14:textId="77777777" w:rsidR="00E05D9A" w:rsidRPr="00DA1136" w:rsidRDefault="00CD1700" w:rsidP="00E05D9A">
            <w:pPr>
              <w:rPr>
                <w:i/>
                <w:iCs/>
              </w:rPr>
            </w:pPr>
            <w:r w:rsidRPr="00DA1136">
              <w:t xml:space="preserve">El </w:t>
            </w:r>
            <w:r w:rsidRPr="00DA1136">
              <w:rPr>
                <w:i/>
                <w:iCs/>
              </w:rPr>
              <w:t>Reglamento de Gestión de Activos</w:t>
            </w:r>
            <w:r w:rsidRPr="00DA1136">
              <w:t xml:space="preserve"> no diferencia entre tipos de contratos </w:t>
            </w:r>
            <w:r w:rsidRPr="00DA1136">
              <w:rPr>
                <w:i/>
                <w:iCs/>
              </w:rPr>
              <w:t>forward.</w:t>
            </w:r>
          </w:p>
          <w:p w14:paraId="31B13C3A" w14:textId="77777777" w:rsidR="00041C9F" w:rsidRPr="00DA1136" w:rsidRDefault="0013702A" w:rsidP="0013702A">
            <w:r w:rsidRPr="00DA1136">
              <w:t>Tomar en cuenta que el artículo 19 del Reglamento de gestión de activos dice:</w:t>
            </w:r>
          </w:p>
          <w:p w14:paraId="776052DC" w14:textId="77777777" w:rsidR="0013702A" w:rsidRPr="00DA1136" w:rsidRDefault="00041C9F" w:rsidP="0013702A">
            <w:pPr>
              <w:rPr>
                <w:i/>
                <w:iCs/>
              </w:rPr>
            </w:pPr>
            <w:r w:rsidRPr="00DA1136">
              <w:rPr>
                <w:i/>
                <w:iCs/>
              </w:rPr>
              <w:t>“</w:t>
            </w:r>
            <w:r w:rsidR="0013702A" w:rsidRPr="00DA1136">
              <w:rPr>
                <w:i/>
                <w:iCs/>
              </w:rPr>
              <w:t>Instrumentos autorizados</w:t>
            </w:r>
            <w:r w:rsidRPr="00DA1136">
              <w:rPr>
                <w:i/>
                <w:iCs/>
              </w:rPr>
              <w:t>.</w:t>
            </w:r>
            <w:r w:rsidR="0013702A" w:rsidRPr="00DA1136">
              <w:rPr>
                <w:i/>
                <w:iCs/>
              </w:rPr>
              <w:t xml:space="preserve"> </w:t>
            </w:r>
          </w:p>
          <w:p w14:paraId="4557C14D" w14:textId="77777777" w:rsidR="0013702A" w:rsidRPr="00DA1136" w:rsidRDefault="0013702A" w:rsidP="0013702A">
            <w:pPr>
              <w:rPr>
                <w:i/>
                <w:iCs/>
              </w:rPr>
            </w:pPr>
            <w:r w:rsidRPr="00DA1136">
              <w:rPr>
                <w:i/>
                <w:iCs/>
              </w:rPr>
              <w:t xml:space="preserve">Para efectos de cobertura, las entidades reguladas pueden realizar por parte de los fondos administrados, operaciones con los siguientes instrumentos financieros derivados: contratos de futuros, contratos a plazo (forwards), permutas financieras (swaps), y </w:t>
            </w:r>
            <w:r w:rsidRPr="00DA1136">
              <w:rPr>
                <w:i/>
                <w:iCs/>
              </w:rPr>
              <w:lastRenderedPageBreak/>
              <w:t>contratos de opciones.</w:t>
            </w:r>
          </w:p>
          <w:p w14:paraId="529F78B8" w14:textId="77777777" w:rsidR="00180FCB" w:rsidRPr="00DA1136" w:rsidRDefault="0013702A" w:rsidP="00BB1199">
            <w:r w:rsidRPr="00DA1136">
              <w:rPr>
                <w:i/>
                <w:iCs/>
              </w:rPr>
              <w:t>Para el caso específico de coberturas de tipo de cambio se autorizan, además, los contratos de diferencia.</w:t>
            </w:r>
            <w:r w:rsidR="00041C9F" w:rsidRPr="00DA1136">
              <w:rPr>
                <w:i/>
                <w:iCs/>
              </w:rPr>
              <w:t>”</w:t>
            </w:r>
          </w:p>
          <w:p w14:paraId="4AE70B34" w14:textId="77777777" w:rsidR="0096646C" w:rsidRPr="00DA1136" w:rsidRDefault="0096646C" w:rsidP="00BB1199">
            <w:r w:rsidRPr="00DA1136">
              <w:t>Por otra parte, el costo de las coberturas corresponde al fondo.</w:t>
            </w:r>
          </w:p>
          <w:p w14:paraId="1CA593FF" w14:textId="77777777" w:rsidR="0096646C" w:rsidRPr="00DA1136" w:rsidRDefault="0096646C" w:rsidP="00BB1199"/>
          <w:p w14:paraId="172B69C4" w14:textId="77777777" w:rsidR="0017083C" w:rsidRPr="00DA1136" w:rsidRDefault="00F85E45" w:rsidP="00BB1199">
            <w:r w:rsidRPr="00DA1136">
              <w:t>Ver comentario anterior.</w:t>
            </w:r>
          </w:p>
          <w:p w14:paraId="77854CA8" w14:textId="77777777" w:rsidR="00961C21" w:rsidRPr="00DA1136" w:rsidRDefault="00961C21" w:rsidP="00BB1199"/>
          <w:p w14:paraId="4FDABBAC" w14:textId="77777777" w:rsidR="002156D2" w:rsidRPr="00DA1136" w:rsidRDefault="002156D2" w:rsidP="00383079"/>
          <w:p w14:paraId="155E8C08" w14:textId="77777777" w:rsidR="002156D2" w:rsidRPr="00DA1136" w:rsidRDefault="002156D2" w:rsidP="00383079"/>
          <w:p w14:paraId="672EBA83" w14:textId="77777777" w:rsidR="002156D2" w:rsidRPr="00DA1136" w:rsidRDefault="002156D2" w:rsidP="00383079"/>
          <w:p w14:paraId="06B628DB" w14:textId="77777777" w:rsidR="002156D2" w:rsidRPr="00DA1136" w:rsidRDefault="002156D2" w:rsidP="00383079"/>
          <w:p w14:paraId="154A174D" w14:textId="77777777" w:rsidR="002156D2" w:rsidRPr="00DA1136" w:rsidRDefault="002156D2" w:rsidP="00383079"/>
          <w:p w14:paraId="566CB239" w14:textId="77777777" w:rsidR="002156D2" w:rsidRPr="00DA1136" w:rsidRDefault="002156D2" w:rsidP="00383079"/>
          <w:p w14:paraId="22FE18F7" w14:textId="77777777" w:rsidR="002156D2" w:rsidRPr="00DA1136" w:rsidRDefault="002156D2" w:rsidP="00383079"/>
          <w:p w14:paraId="0910708F" w14:textId="77777777" w:rsidR="002156D2" w:rsidRPr="00DA1136" w:rsidRDefault="002156D2" w:rsidP="00383079"/>
          <w:p w14:paraId="56BAD399" w14:textId="77777777" w:rsidR="002156D2" w:rsidRPr="00DA1136" w:rsidRDefault="002156D2" w:rsidP="00383079"/>
          <w:p w14:paraId="58547085" w14:textId="77777777" w:rsidR="002156D2" w:rsidRPr="00DA1136" w:rsidRDefault="002156D2" w:rsidP="00383079"/>
          <w:p w14:paraId="3A6D7349" w14:textId="77777777" w:rsidR="00291BDF" w:rsidRPr="00DA1136" w:rsidRDefault="00291BDF" w:rsidP="00BB1199"/>
          <w:p w14:paraId="13EC909D" w14:textId="77777777" w:rsidR="00F85E45" w:rsidRPr="00DA1136" w:rsidRDefault="00F85E45" w:rsidP="00BB1199"/>
          <w:p w14:paraId="75748962" w14:textId="77777777" w:rsidR="00F85E45" w:rsidRPr="00DA1136" w:rsidRDefault="00F85E45" w:rsidP="00BB1199"/>
          <w:p w14:paraId="12C77734" w14:textId="77777777" w:rsidR="00F85E45" w:rsidRPr="00DA1136" w:rsidRDefault="00F85E45" w:rsidP="00BB1199"/>
          <w:p w14:paraId="0934D073" w14:textId="77777777" w:rsidR="00F85E45" w:rsidRPr="00DA1136" w:rsidRDefault="00F85E45" w:rsidP="00BB1199"/>
          <w:p w14:paraId="4A2D74FD" w14:textId="77777777" w:rsidR="00F85E45" w:rsidRPr="00DA1136" w:rsidRDefault="00F85E45" w:rsidP="00BB1199"/>
          <w:p w14:paraId="4CEDE401" w14:textId="77777777" w:rsidR="00F85E45" w:rsidRPr="00DA1136" w:rsidRDefault="00F85E45" w:rsidP="00BB1199"/>
          <w:p w14:paraId="5D50C8E3" w14:textId="77777777" w:rsidR="00F85E45" w:rsidRPr="00DA1136" w:rsidRDefault="00F85E45" w:rsidP="00BB1199"/>
          <w:p w14:paraId="7F379416" w14:textId="77777777" w:rsidR="00F85E45" w:rsidRPr="00DA1136" w:rsidRDefault="00F85E45" w:rsidP="00BB1199"/>
          <w:p w14:paraId="12391837" w14:textId="77777777" w:rsidR="00F85E45" w:rsidRPr="00DA1136" w:rsidRDefault="00F85E45" w:rsidP="00BB1199"/>
          <w:p w14:paraId="3362B226" w14:textId="77777777" w:rsidR="00F85E45" w:rsidRPr="00DA1136" w:rsidRDefault="00F85E45" w:rsidP="00BB1199"/>
          <w:p w14:paraId="6C59302C" w14:textId="77777777" w:rsidR="00961C21" w:rsidRPr="00DA1136" w:rsidRDefault="00383079" w:rsidP="00BB1199">
            <w:r w:rsidRPr="00DA1136">
              <w:t>Los contratos marco, aplicables para mercados OTC</w:t>
            </w:r>
            <w:r w:rsidR="00265B8A" w:rsidRPr="00DA1136">
              <w:t xml:space="preserve">, establecen las condiciones generales que aplican a las operaciones </w:t>
            </w:r>
            <w:r w:rsidR="005C192B" w:rsidRPr="00DA1136">
              <w:t xml:space="preserve">particulares que se realicen al amparo del </w:t>
            </w:r>
            <w:r w:rsidR="00204920" w:rsidRPr="00DA1136">
              <w:t>primero (</w:t>
            </w:r>
            <w:r w:rsidR="005C192B" w:rsidRPr="00DA1136">
              <w:t>contrato marco</w:t>
            </w:r>
            <w:r w:rsidR="00204920" w:rsidRPr="00DA1136">
              <w:t xml:space="preserve">). </w:t>
            </w:r>
            <w:r w:rsidR="004C5102" w:rsidRPr="00DA1136">
              <w:t xml:space="preserve">Véase el </w:t>
            </w:r>
            <w:r w:rsidR="004C5102" w:rsidRPr="00DA1136">
              <w:lastRenderedPageBreak/>
              <w:t>artículo 27 del Reglamento de Gestión de Activos.</w:t>
            </w:r>
          </w:p>
          <w:p w14:paraId="3499F60E" w14:textId="77777777" w:rsidR="00291BDF" w:rsidRPr="00DA1136" w:rsidRDefault="00291BDF" w:rsidP="008D29D7"/>
          <w:p w14:paraId="11814A7C" w14:textId="77777777" w:rsidR="00BD7D63" w:rsidRPr="00DA1136" w:rsidRDefault="004575DB" w:rsidP="008D29D7">
            <w:r w:rsidRPr="00DA1136">
              <w:t xml:space="preserve">En ambos, dependiendo </w:t>
            </w:r>
            <w:r w:rsidR="00587FFE" w:rsidRPr="00DA1136">
              <w:t>del modelo de negocio</w:t>
            </w:r>
            <w:r w:rsidR="00636696" w:rsidRPr="00DA1136">
              <w:t xml:space="preserve"> aprobado por los órganos de dirección</w:t>
            </w:r>
            <w:r w:rsidR="00587FFE" w:rsidRPr="00DA1136">
              <w:t xml:space="preserve">, según </w:t>
            </w:r>
            <w:r w:rsidR="006107D6" w:rsidRPr="00DA1136">
              <w:t xml:space="preserve">el estándar </w:t>
            </w:r>
            <w:r w:rsidR="00587FFE" w:rsidRPr="00DA1136">
              <w:t>NI</w:t>
            </w:r>
            <w:r w:rsidR="006107D6" w:rsidRPr="00DA1136">
              <w:t>I</w:t>
            </w:r>
            <w:r w:rsidR="00587FFE" w:rsidRPr="00DA1136">
              <w:t>F 9</w:t>
            </w:r>
            <w:r w:rsidR="00B15753" w:rsidRPr="00DA1136">
              <w:t>.</w:t>
            </w:r>
          </w:p>
          <w:p w14:paraId="281330E5" w14:textId="77777777" w:rsidR="008D42C9" w:rsidRPr="00DA1136" w:rsidRDefault="008D42C9" w:rsidP="008D29D7"/>
          <w:p w14:paraId="03477D5D" w14:textId="77777777" w:rsidR="002156D2" w:rsidRPr="00DA1136" w:rsidRDefault="002156D2" w:rsidP="008D29D7"/>
          <w:p w14:paraId="68A106CA" w14:textId="77777777" w:rsidR="002156D2" w:rsidRPr="00DA1136" w:rsidRDefault="002156D2" w:rsidP="008D29D7"/>
          <w:p w14:paraId="048E6175" w14:textId="77777777" w:rsidR="002156D2" w:rsidRPr="00DA1136" w:rsidRDefault="002156D2" w:rsidP="008D29D7"/>
          <w:p w14:paraId="653D8976" w14:textId="77777777" w:rsidR="00291BDF" w:rsidRPr="00DA1136" w:rsidRDefault="00291BDF" w:rsidP="004C6E51"/>
          <w:p w14:paraId="04CF6A68" w14:textId="77777777" w:rsidR="004C6E51" w:rsidRPr="00DA1136" w:rsidRDefault="008D29D7" w:rsidP="004C6E51">
            <w:r w:rsidRPr="00DA1136">
              <w:t xml:space="preserve">La información correspondiente debe remitirse </w:t>
            </w:r>
            <w:r w:rsidR="00866629" w:rsidRPr="00DA1136">
              <w:t xml:space="preserve">con </w:t>
            </w:r>
            <w:r w:rsidR="004C6E51" w:rsidRPr="00DA1136">
              <w:t>la información contable y de portafolios a cada cierre de mes.</w:t>
            </w:r>
          </w:p>
          <w:p w14:paraId="2431D8E5" w14:textId="77777777" w:rsidR="00B24269" w:rsidRPr="00DA1136" w:rsidRDefault="00B24269" w:rsidP="00BB1199"/>
          <w:p w14:paraId="275A9D1D" w14:textId="77777777" w:rsidR="002156D2" w:rsidRPr="00DA1136" w:rsidRDefault="002156D2" w:rsidP="00BB1199"/>
          <w:p w14:paraId="5A4A25CB" w14:textId="77777777" w:rsidR="002156D2" w:rsidRPr="00DA1136" w:rsidRDefault="002156D2" w:rsidP="00BB1199"/>
          <w:p w14:paraId="6998C8CA" w14:textId="77777777" w:rsidR="002156D2" w:rsidRPr="00DA1136" w:rsidRDefault="002156D2" w:rsidP="00BB1199"/>
          <w:p w14:paraId="255BEABD" w14:textId="77777777" w:rsidR="002156D2" w:rsidRPr="00DA1136" w:rsidRDefault="002156D2" w:rsidP="00BB1199"/>
          <w:p w14:paraId="52492A14" w14:textId="77777777" w:rsidR="002156D2" w:rsidRPr="00DA1136" w:rsidRDefault="002156D2" w:rsidP="00BB1199"/>
          <w:p w14:paraId="5BE01DCD" w14:textId="77777777" w:rsidR="002156D2" w:rsidRPr="00DA1136" w:rsidRDefault="002156D2" w:rsidP="00BB1199"/>
          <w:p w14:paraId="3FE427D3" w14:textId="77777777" w:rsidR="002156D2" w:rsidRPr="00DA1136" w:rsidRDefault="002156D2" w:rsidP="00BB1199"/>
          <w:p w14:paraId="2ED8A823" w14:textId="77777777" w:rsidR="002156D2" w:rsidRPr="00DA1136" w:rsidRDefault="002156D2" w:rsidP="00BB1199"/>
          <w:p w14:paraId="48B7226D" w14:textId="77777777" w:rsidR="002156D2" w:rsidRPr="00DA1136" w:rsidRDefault="002156D2" w:rsidP="00BB1199"/>
          <w:p w14:paraId="34B09607" w14:textId="77777777" w:rsidR="002156D2" w:rsidRPr="00DA1136" w:rsidRDefault="002156D2" w:rsidP="00BB1199"/>
          <w:p w14:paraId="757849A1" w14:textId="77777777" w:rsidR="002156D2" w:rsidRPr="00DA1136" w:rsidRDefault="002156D2" w:rsidP="00BB1199"/>
          <w:p w14:paraId="22ADA372" w14:textId="77777777" w:rsidR="002156D2" w:rsidRPr="00DA1136" w:rsidRDefault="002156D2" w:rsidP="00BB1199"/>
          <w:p w14:paraId="7A640CED" w14:textId="77777777" w:rsidR="008D42C9" w:rsidRPr="00DA1136" w:rsidRDefault="008D42C9" w:rsidP="00BB1199">
            <w:r w:rsidRPr="00DA1136">
              <w:t>El costo dependerá del producto seleccionado, del resultado final de la operación de la cobertura y de cada fondo en particular.</w:t>
            </w:r>
          </w:p>
          <w:p w14:paraId="6B50C8FF" w14:textId="77777777" w:rsidR="00B24269" w:rsidRDefault="00B24269" w:rsidP="00BB1199"/>
          <w:p w14:paraId="153BC3DE" w14:textId="77777777" w:rsidR="00493528" w:rsidRDefault="00493528" w:rsidP="00BB1199"/>
          <w:p w14:paraId="30D5DE69" w14:textId="77777777" w:rsidR="00493528" w:rsidRDefault="00493528" w:rsidP="00BB1199"/>
          <w:p w14:paraId="17C235EB" w14:textId="77777777" w:rsidR="00493528" w:rsidRDefault="00493528" w:rsidP="00BB1199"/>
          <w:p w14:paraId="109B2EB3" w14:textId="77777777" w:rsidR="00493528" w:rsidRPr="00DA1136" w:rsidRDefault="00493528" w:rsidP="00BB1199"/>
          <w:p w14:paraId="2C5B3097" w14:textId="77777777" w:rsidR="007E16A5" w:rsidRPr="00DA1136" w:rsidRDefault="004C6B1E" w:rsidP="007E16A5">
            <w:r w:rsidRPr="00DA1136">
              <w:t>E</w:t>
            </w:r>
            <w:r w:rsidR="006678DC" w:rsidRPr="00DA1136">
              <w:t>s por fondo.</w:t>
            </w:r>
          </w:p>
          <w:p w14:paraId="4163E719" w14:textId="77777777" w:rsidR="00B24269" w:rsidRPr="00DA1136" w:rsidRDefault="00B24269" w:rsidP="00BB1199"/>
          <w:p w14:paraId="30A5868B" w14:textId="77777777" w:rsidR="006B32A3" w:rsidRPr="00DA1136" w:rsidRDefault="006B32A3" w:rsidP="005B0E4B">
            <w:pPr>
              <w:rPr>
                <w:highlight w:val="green"/>
              </w:rPr>
            </w:pPr>
          </w:p>
          <w:p w14:paraId="592761E1" w14:textId="77777777" w:rsidR="006B32A3" w:rsidRPr="00DA1136" w:rsidRDefault="006B32A3" w:rsidP="005B0E4B"/>
          <w:p w14:paraId="56E2D758" w14:textId="77777777" w:rsidR="006B32A3" w:rsidRPr="00DA1136" w:rsidRDefault="006B32A3" w:rsidP="005B0E4B"/>
          <w:p w14:paraId="576C264E" w14:textId="77777777" w:rsidR="004C6B1E" w:rsidRPr="00DA1136" w:rsidRDefault="004C6B1E" w:rsidP="005B0E4B"/>
          <w:p w14:paraId="6B066848" w14:textId="77777777" w:rsidR="004C6B1E" w:rsidRPr="00DA1136" w:rsidRDefault="004C6B1E" w:rsidP="005B0E4B"/>
          <w:p w14:paraId="6FDB8C36" w14:textId="77777777" w:rsidR="004C6B1E" w:rsidRPr="00DA1136" w:rsidRDefault="004C6B1E" w:rsidP="005B0E4B"/>
          <w:p w14:paraId="549EEFC6" w14:textId="77777777" w:rsidR="004C6B1E" w:rsidRPr="00DA1136" w:rsidRDefault="004C6B1E" w:rsidP="005B0E4B"/>
          <w:p w14:paraId="70615804" w14:textId="77777777" w:rsidR="004C6B1E" w:rsidRPr="00DA1136" w:rsidRDefault="004C6B1E" w:rsidP="005B0E4B"/>
          <w:p w14:paraId="617A9088" w14:textId="77777777" w:rsidR="00B24269" w:rsidRPr="00DA1136" w:rsidRDefault="00297450" w:rsidP="00BB1199">
            <w:r w:rsidRPr="00DA1136">
              <w:t xml:space="preserve">El valor del activo es el activo total del correspondiente fondo. </w:t>
            </w:r>
          </w:p>
          <w:p w14:paraId="36078DA5" w14:textId="77777777" w:rsidR="000301F9" w:rsidRPr="00DA1136" w:rsidRDefault="000301F9" w:rsidP="00BB1199"/>
          <w:p w14:paraId="5AD1BD6B" w14:textId="77777777" w:rsidR="00E14C55" w:rsidRPr="00DA1136" w:rsidRDefault="00E14C55" w:rsidP="00257156"/>
          <w:p w14:paraId="3B5CA0D7" w14:textId="77777777" w:rsidR="00DE4B77" w:rsidRPr="00DA1136" w:rsidRDefault="00287585" w:rsidP="00257156">
            <w:r w:rsidRPr="00DA1136">
              <w:t>Ver comentarios anteriores sobre el tema.</w:t>
            </w:r>
          </w:p>
          <w:p w14:paraId="6B933251" w14:textId="77777777" w:rsidR="00B24269" w:rsidRPr="00DA1136" w:rsidRDefault="00B24269" w:rsidP="00BB1199"/>
          <w:p w14:paraId="08FE41F1" w14:textId="77777777" w:rsidR="00B24269" w:rsidRPr="00DA1136" w:rsidRDefault="00B24269" w:rsidP="00BB1199"/>
          <w:p w14:paraId="1D347F6A" w14:textId="77777777" w:rsidR="00B24269" w:rsidRPr="00DA1136" w:rsidRDefault="00B24269" w:rsidP="00BB1199"/>
          <w:p w14:paraId="0208B637" w14:textId="77777777" w:rsidR="00B24269" w:rsidRPr="00DA1136" w:rsidRDefault="00B24269" w:rsidP="00BB1199"/>
          <w:p w14:paraId="23431201" w14:textId="77777777" w:rsidR="00B24269" w:rsidRPr="00DA1136" w:rsidRDefault="00B24269" w:rsidP="00BB1199"/>
          <w:p w14:paraId="5F1688C8" w14:textId="77777777" w:rsidR="00B24269" w:rsidRPr="00DA1136" w:rsidRDefault="00B24269" w:rsidP="00BB1199"/>
          <w:p w14:paraId="7E8A3805" w14:textId="77777777" w:rsidR="00B24269" w:rsidRPr="00DA1136" w:rsidRDefault="00B24269" w:rsidP="00BB1199"/>
          <w:p w14:paraId="17941014" w14:textId="77777777" w:rsidR="00B24269" w:rsidRPr="00DA1136" w:rsidRDefault="00B24269" w:rsidP="00BB1199"/>
          <w:p w14:paraId="26399746" w14:textId="77777777" w:rsidR="00B24269" w:rsidRPr="00DA1136" w:rsidRDefault="00B24269" w:rsidP="00BB1199"/>
          <w:p w14:paraId="0A6D2143" w14:textId="77777777" w:rsidR="00533ECD" w:rsidRPr="00DA1136" w:rsidRDefault="00533ECD" w:rsidP="00257156"/>
          <w:p w14:paraId="17A1D019" w14:textId="77777777" w:rsidR="00533ECD" w:rsidRPr="00DA1136" w:rsidRDefault="00533ECD" w:rsidP="00257156"/>
          <w:p w14:paraId="35B910DF" w14:textId="77777777" w:rsidR="00533ECD" w:rsidRPr="00DA1136" w:rsidRDefault="00533ECD" w:rsidP="00257156"/>
          <w:p w14:paraId="17C900EC" w14:textId="77777777" w:rsidR="002156D2" w:rsidRPr="00DA1136" w:rsidRDefault="002156D2" w:rsidP="00257156"/>
          <w:p w14:paraId="15352345" w14:textId="77777777" w:rsidR="002156D2" w:rsidRPr="00DA1136" w:rsidRDefault="002156D2" w:rsidP="00257156"/>
          <w:p w14:paraId="3296D71F" w14:textId="77777777" w:rsidR="00287585" w:rsidRPr="00DA1136" w:rsidRDefault="00287585" w:rsidP="00257156"/>
          <w:p w14:paraId="5FC79DEC" w14:textId="77777777" w:rsidR="00B24269" w:rsidRPr="00DA1136" w:rsidRDefault="00DE4B77" w:rsidP="00BB1199">
            <w:r w:rsidRPr="00DA1136">
              <w:t xml:space="preserve">El </w:t>
            </w:r>
            <w:r w:rsidRPr="00DA1136">
              <w:rPr>
                <w:i/>
                <w:iCs/>
              </w:rPr>
              <w:t>Reglamento de Gestión de Activos</w:t>
            </w:r>
            <w:r w:rsidRPr="00DA1136">
              <w:t xml:space="preserve"> aplica a todos los regulados por la SUPEN.</w:t>
            </w:r>
          </w:p>
          <w:p w14:paraId="08024286" w14:textId="77777777" w:rsidR="00B24269" w:rsidRPr="00DA1136" w:rsidRDefault="00B24269" w:rsidP="00BB1199"/>
          <w:p w14:paraId="59BED5B6" w14:textId="77777777" w:rsidR="00B24269" w:rsidRPr="00DA1136" w:rsidRDefault="00B24269" w:rsidP="00BB1199"/>
          <w:p w14:paraId="09198874" w14:textId="77777777" w:rsidR="00B027ED" w:rsidRPr="00DA1136" w:rsidRDefault="00B027ED" w:rsidP="006F45F5"/>
          <w:p w14:paraId="33947BBF" w14:textId="77777777" w:rsidR="006F45F5" w:rsidRPr="00FA3030" w:rsidRDefault="006F45F5" w:rsidP="006F45F5">
            <w:pPr>
              <w:rPr>
                <w:b/>
                <w:bCs/>
              </w:rPr>
            </w:pPr>
            <w:r w:rsidRPr="00FA3030">
              <w:rPr>
                <w:b/>
                <w:bCs/>
              </w:rPr>
              <w:t>CCSS, OPC</w:t>
            </w:r>
            <w:r w:rsidR="008B43CC" w:rsidRPr="00FA3030">
              <w:rPr>
                <w:b/>
                <w:bCs/>
              </w:rPr>
              <w:t>/SUPEN</w:t>
            </w:r>
          </w:p>
          <w:p w14:paraId="625C0B4D" w14:textId="77777777" w:rsidR="00B24269" w:rsidRPr="00DA1136" w:rsidRDefault="002C50ED" w:rsidP="00BB1199">
            <w:r w:rsidRPr="00DA1136">
              <w:t>Se trata de un comentario.</w:t>
            </w:r>
          </w:p>
          <w:p w14:paraId="002A7CAB" w14:textId="77777777" w:rsidR="00B24269" w:rsidRPr="00DA1136" w:rsidRDefault="00B24269" w:rsidP="00BB1199"/>
          <w:p w14:paraId="78FD4A9D" w14:textId="77777777" w:rsidR="00B24269" w:rsidRPr="00DA1136" w:rsidRDefault="00B24269" w:rsidP="00BB1199"/>
          <w:p w14:paraId="28246678" w14:textId="77777777" w:rsidR="00B24269" w:rsidRPr="00DA1136" w:rsidRDefault="00B24269" w:rsidP="00BB1199"/>
          <w:p w14:paraId="177BCE02" w14:textId="77777777" w:rsidR="00B24269" w:rsidRPr="00DA1136" w:rsidRDefault="00B24269" w:rsidP="00BB1199"/>
          <w:p w14:paraId="039ACFFD" w14:textId="77777777" w:rsidR="00B24269" w:rsidRPr="00DA1136" w:rsidRDefault="00B24269" w:rsidP="00BB1199"/>
          <w:p w14:paraId="6529C54B" w14:textId="77777777" w:rsidR="00B24269" w:rsidRPr="00DA1136" w:rsidRDefault="00B24269" w:rsidP="00BB1199"/>
          <w:p w14:paraId="0E82CAC8" w14:textId="77777777" w:rsidR="00B24269" w:rsidRPr="00DA1136" w:rsidRDefault="00B24269" w:rsidP="00BB1199"/>
          <w:p w14:paraId="4AAA09C9" w14:textId="77777777" w:rsidR="00B24269" w:rsidRPr="00DA1136" w:rsidRDefault="00B24269" w:rsidP="00BB1199"/>
          <w:p w14:paraId="78464785" w14:textId="77777777" w:rsidR="00B24269" w:rsidRPr="00DA1136" w:rsidRDefault="00B24269" w:rsidP="00BB1199"/>
          <w:p w14:paraId="3B32C1E9" w14:textId="77777777" w:rsidR="00B24269" w:rsidRPr="00DA1136" w:rsidRDefault="00B24269" w:rsidP="00BB1199"/>
          <w:p w14:paraId="2545E695" w14:textId="77777777" w:rsidR="00B24269" w:rsidRPr="00DA1136" w:rsidRDefault="00B24269" w:rsidP="00BB1199"/>
          <w:p w14:paraId="05AB9AEE" w14:textId="77777777" w:rsidR="00B24269" w:rsidRPr="00DA1136" w:rsidRDefault="00B24269" w:rsidP="00BB1199"/>
          <w:p w14:paraId="236343CD" w14:textId="77777777" w:rsidR="00B24269" w:rsidRPr="00DA1136" w:rsidRDefault="00B24269" w:rsidP="00BB1199"/>
          <w:p w14:paraId="322CD0D0" w14:textId="77777777" w:rsidR="00B24269" w:rsidRPr="00DA1136" w:rsidRDefault="00B24269" w:rsidP="00BB1199"/>
          <w:p w14:paraId="7C537E05" w14:textId="77777777" w:rsidR="00B24269" w:rsidRPr="00DA1136" w:rsidRDefault="00B24269" w:rsidP="00BB1199"/>
          <w:p w14:paraId="2A168A71" w14:textId="77777777" w:rsidR="00B24269" w:rsidRPr="00DA1136" w:rsidRDefault="00B24269" w:rsidP="00BB1199"/>
          <w:p w14:paraId="3DC9D802" w14:textId="77777777" w:rsidR="00B24269" w:rsidRPr="00DA1136" w:rsidRDefault="00B24269" w:rsidP="00BB1199"/>
          <w:p w14:paraId="03709F18" w14:textId="77777777" w:rsidR="00B24269" w:rsidRPr="00DA1136" w:rsidRDefault="00B24269" w:rsidP="00BB1199"/>
          <w:p w14:paraId="12941172" w14:textId="77777777" w:rsidR="00B24269" w:rsidRPr="00DA1136" w:rsidRDefault="00B24269" w:rsidP="00BB1199"/>
          <w:p w14:paraId="556DFEF5" w14:textId="77777777" w:rsidR="00B24269" w:rsidRPr="00DA1136" w:rsidRDefault="00B24269" w:rsidP="00BB1199"/>
          <w:p w14:paraId="77DACDD9" w14:textId="77777777" w:rsidR="00B24269" w:rsidRPr="00DA1136" w:rsidRDefault="00B24269" w:rsidP="00BB1199"/>
          <w:p w14:paraId="2017FDA9" w14:textId="77777777" w:rsidR="00B24269" w:rsidRPr="00DA1136" w:rsidRDefault="00B24269" w:rsidP="00BB1199"/>
          <w:p w14:paraId="536B11BD" w14:textId="77777777" w:rsidR="00B24269" w:rsidRPr="00DA1136" w:rsidRDefault="00B24269" w:rsidP="00BB1199"/>
          <w:p w14:paraId="4D94553A" w14:textId="77777777" w:rsidR="00B24269" w:rsidRPr="00DA1136" w:rsidRDefault="00532B7C" w:rsidP="00BB1199">
            <w:r w:rsidRPr="00DA1136">
              <w:t>.</w:t>
            </w:r>
          </w:p>
          <w:p w14:paraId="4E967C8B" w14:textId="77777777" w:rsidR="00B24269" w:rsidRPr="00DA1136" w:rsidRDefault="00B24269" w:rsidP="00BB1199"/>
          <w:p w14:paraId="7E34BE9A" w14:textId="77777777" w:rsidR="00B24269" w:rsidRPr="00DA1136" w:rsidRDefault="00B24269" w:rsidP="00BB1199"/>
          <w:p w14:paraId="48811F8B" w14:textId="77777777" w:rsidR="00413642" w:rsidRPr="00DA1136" w:rsidRDefault="00413642" w:rsidP="007A6FE4"/>
          <w:p w14:paraId="1CA3EC3E" w14:textId="77777777" w:rsidR="002C50ED" w:rsidRPr="00DA1136" w:rsidRDefault="002C50ED" w:rsidP="007A6FE4"/>
          <w:p w14:paraId="57AACAB5" w14:textId="77777777" w:rsidR="007A6FE4" w:rsidRPr="00FA3030" w:rsidRDefault="00221B04" w:rsidP="007A6FE4">
            <w:pPr>
              <w:rPr>
                <w:b/>
                <w:bCs/>
              </w:rPr>
            </w:pPr>
            <w:r w:rsidRPr="00FA3030">
              <w:rPr>
                <w:b/>
                <w:bCs/>
              </w:rPr>
              <w:t>Popular, OPC/SUPEN</w:t>
            </w:r>
          </w:p>
          <w:p w14:paraId="4E2F66D5" w14:textId="77777777" w:rsidR="007A6FE4" w:rsidRPr="00DA1136" w:rsidRDefault="007A6FE4" w:rsidP="007A6FE4">
            <w:r w:rsidRPr="00DA1136">
              <w:t>1. Mercado inexistente de coberturas.</w:t>
            </w:r>
          </w:p>
          <w:p w14:paraId="0B88D47F" w14:textId="77777777" w:rsidR="00751C1F" w:rsidRPr="00DA1136" w:rsidRDefault="007A6FE4" w:rsidP="00751C1F">
            <w:r w:rsidRPr="00DA1136">
              <w:t>Ver comentarios</w:t>
            </w:r>
            <w:r w:rsidR="00751C1F" w:rsidRPr="00DA1136">
              <w:t>:</w:t>
            </w:r>
            <w:r w:rsidRPr="00DA1136">
              <w:t xml:space="preserve"> </w:t>
            </w:r>
            <w:r w:rsidR="00751C1F" w:rsidRPr="00FA7CC7">
              <w:rPr>
                <w:b/>
                <w:bCs/>
              </w:rPr>
              <w:t>Fondo ICE/SUPEN</w:t>
            </w:r>
            <w:r w:rsidR="00C40E8D" w:rsidRPr="00DA1136">
              <w:t>.</w:t>
            </w:r>
          </w:p>
          <w:p w14:paraId="1B4CBAD2" w14:textId="77777777" w:rsidR="007A6FE4" w:rsidRPr="00DA1136" w:rsidRDefault="007A6FE4" w:rsidP="007A6FE4"/>
          <w:p w14:paraId="69A7C3FB" w14:textId="77777777" w:rsidR="00221B04" w:rsidRPr="00DA1136" w:rsidRDefault="00221B04" w:rsidP="00221B04"/>
          <w:p w14:paraId="64166F24" w14:textId="77777777" w:rsidR="00221B04" w:rsidRPr="00DA1136" w:rsidRDefault="00221B04" w:rsidP="00221B04"/>
          <w:p w14:paraId="4BB294B0" w14:textId="77777777" w:rsidR="007F2F86" w:rsidRPr="00DA1136" w:rsidRDefault="007F2F86" w:rsidP="00BB1199"/>
          <w:p w14:paraId="1CFF1143" w14:textId="77777777" w:rsidR="007F2F86" w:rsidRPr="00DA1136" w:rsidRDefault="007F2F86" w:rsidP="00BB1199"/>
          <w:p w14:paraId="0045EB58" w14:textId="77777777" w:rsidR="007F2F86" w:rsidRPr="00DA1136" w:rsidRDefault="007F2F86" w:rsidP="00BB1199"/>
          <w:p w14:paraId="156244B2" w14:textId="77777777" w:rsidR="007F2F86" w:rsidRPr="00DA1136" w:rsidRDefault="007F2F86" w:rsidP="00BB1199"/>
          <w:p w14:paraId="75F21D34" w14:textId="77777777" w:rsidR="007F2F86" w:rsidRPr="00DA1136" w:rsidRDefault="007F2F86" w:rsidP="00BB1199"/>
          <w:p w14:paraId="64575978" w14:textId="77777777" w:rsidR="007F2F86" w:rsidRPr="00DA1136" w:rsidRDefault="007F2F86" w:rsidP="00BB1199"/>
          <w:p w14:paraId="06102D22" w14:textId="77777777" w:rsidR="007F2F86" w:rsidRPr="00DA1136" w:rsidRDefault="007F2F86" w:rsidP="00BB1199"/>
          <w:p w14:paraId="35A03157" w14:textId="77777777" w:rsidR="007F2F86" w:rsidRPr="00DA1136" w:rsidRDefault="007F2F86" w:rsidP="00BB1199"/>
          <w:p w14:paraId="5D91B517" w14:textId="77777777" w:rsidR="007F2F86" w:rsidRPr="00DA1136" w:rsidRDefault="007F2F86" w:rsidP="00BB1199"/>
          <w:p w14:paraId="39DD0F12" w14:textId="77777777" w:rsidR="007F2F86" w:rsidRPr="00DA1136" w:rsidRDefault="007F2F86" w:rsidP="00BB1199"/>
          <w:p w14:paraId="7097E59A" w14:textId="77777777" w:rsidR="007F2F86" w:rsidRPr="00DA1136" w:rsidRDefault="007F2F86" w:rsidP="00BB1199"/>
          <w:p w14:paraId="0E502A67" w14:textId="77777777" w:rsidR="007F2F86" w:rsidRPr="00DA1136" w:rsidRDefault="007F2F86" w:rsidP="00BB1199"/>
          <w:p w14:paraId="347762CC" w14:textId="77777777" w:rsidR="007F2F86" w:rsidRPr="00DA1136" w:rsidRDefault="007F2F86" w:rsidP="00BB1199"/>
          <w:p w14:paraId="6315FA7C" w14:textId="77777777" w:rsidR="007F2F86" w:rsidRPr="00DA1136" w:rsidRDefault="007F2F86" w:rsidP="00BB1199"/>
          <w:p w14:paraId="5D3740BC" w14:textId="77777777" w:rsidR="007F2F86" w:rsidRPr="00DA1136" w:rsidRDefault="007F2F86" w:rsidP="00BB1199"/>
          <w:p w14:paraId="2BBB5666" w14:textId="77777777" w:rsidR="007F2F86" w:rsidRPr="00DA1136" w:rsidRDefault="007F2F86" w:rsidP="00BB1199"/>
          <w:p w14:paraId="4CEE4253" w14:textId="77777777" w:rsidR="007F2F86" w:rsidRPr="00DA1136" w:rsidRDefault="007F2F86" w:rsidP="00BB1199"/>
          <w:p w14:paraId="6B7337A0" w14:textId="77777777" w:rsidR="007F2F86" w:rsidRPr="00DA1136" w:rsidRDefault="007F2F86" w:rsidP="00BB1199"/>
          <w:p w14:paraId="3E29EE49" w14:textId="77777777" w:rsidR="007F2F86" w:rsidRPr="00DA1136" w:rsidRDefault="007F2F86" w:rsidP="00BB1199"/>
          <w:p w14:paraId="69A7356B" w14:textId="77777777" w:rsidR="007F2F86" w:rsidRPr="00DA1136" w:rsidRDefault="007F2F86" w:rsidP="00BB1199"/>
          <w:p w14:paraId="4EB92DFA" w14:textId="77777777" w:rsidR="007F2F86" w:rsidRPr="00DA1136" w:rsidRDefault="007F2F86" w:rsidP="00BB1199"/>
          <w:p w14:paraId="31259D13" w14:textId="77777777" w:rsidR="007F2F86" w:rsidRPr="00DA1136" w:rsidRDefault="007F2F86" w:rsidP="00BB1199"/>
          <w:p w14:paraId="0B079FCC" w14:textId="77777777" w:rsidR="007F2F86" w:rsidRPr="00DA1136" w:rsidRDefault="007F2F86" w:rsidP="00BB1199"/>
          <w:p w14:paraId="3E8A09EF" w14:textId="77777777" w:rsidR="007F2F86" w:rsidRPr="00DA1136" w:rsidRDefault="007F2F86" w:rsidP="00BB1199"/>
          <w:p w14:paraId="50ABF1D6" w14:textId="77777777" w:rsidR="007F2F86" w:rsidRPr="00DA1136" w:rsidRDefault="007F2F86" w:rsidP="00BB1199"/>
          <w:p w14:paraId="6F697AAD" w14:textId="77777777" w:rsidR="007F2F86" w:rsidRPr="00DA1136" w:rsidRDefault="007F2F86" w:rsidP="00BB1199"/>
          <w:p w14:paraId="3C943A2E" w14:textId="77777777" w:rsidR="007F2F86" w:rsidRPr="00DA1136" w:rsidRDefault="007F2F86" w:rsidP="00BB1199"/>
          <w:p w14:paraId="1D88CFF4" w14:textId="77777777" w:rsidR="007F2F86" w:rsidRPr="00DA1136" w:rsidRDefault="007F2F86" w:rsidP="00BB1199"/>
          <w:p w14:paraId="249E83EE" w14:textId="77777777" w:rsidR="007F2F86" w:rsidRPr="00DA1136" w:rsidRDefault="007F2F86" w:rsidP="00BB1199"/>
          <w:p w14:paraId="70381574" w14:textId="77777777" w:rsidR="007F2F86" w:rsidRPr="00DA1136" w:rsidRDefault="007F2F86" w:rsidP="00BB1199"/>
          <w:p w14:paraId="329BF4BC" w14:textId="77777777" w:rsidR="007F2F86" w:rsidRPr="00DA1136" w:rsidRDefault="007F2F86" w:rsidP="00BB1199"/>
          <w:p w14:paraId="240891DC" w14:textId="77777777" w:rsidR="007F2F86" w:rsidRPr="00DA1136" w:rsidRDefault="007F2F86" w:rsidP="00BB1199"/>
          <w:p w14:paraId="77D07C49" w14:textId="77777777" w:rsidR="007F2F86" w:rsidRPr="00DA1136" w:rsidRDefault="007F2F86" w:rsidP="00BB1199"/>
          <w:p w14:paraId="143CF4C8" w14:textId="77777777" w:rsidR="007F2F86" w:rsidRPr="00DA1136" w:rsidRDefault="007F2F86" w:rsidP="00BB1199"/>
          <w:p w14:paraId="018764AB" w14:textId="77777777" w:rsidR="007F2F86" w:rsidRPr="00DA1136" w:rsidRDefault="007F2F86" w:rsidP="00BB1199"/>
          <w:p w14:paraId="422D9697" w14:textId="77777777" w:rsidR="007F2F86" w:rsidRPr="00DA1136" w:rsidRDefault="007F2F86" w:rsidP="00BB1199"/>
          <w:p w14:paraId="69F6E79C" w14:textId="77777777" w:rsidR="007F2F86" w:rsidRPr="00DA1136" w:rsidRDefault="007F2F86" w:rsidP="00BB1199"/>
          <w:p w14:paraId="40203F49" w14:textId="77777777" w:rsidR="007F2F86" w:rsidRPr="00DA1136" w:rsidRDefault="007F2F86" w:rsidP="00BB1199"/>
          <w:p w14:paraId="3028B7C6" w14:textId="77777777" w:rsidR="007F2F86" w:rsidRPr="00DA1136" w:rsidRDefault="007F2F86" w:rsidP="00BB1199"/>
          <w:p w14:paraId="251F021F" w14:textId="77777777" w:rsidR="007F2F86" w:rsidRPr="00DA1136" w:rsidRDefault="007F2F86" w:rsidP="00BB1199"/>
          <w:p w14:paraId="31A114E9" w14:textId="77777777" w:rsidR="007F2F86" w:rsidRPr="00DA1136" w:rsidRDefault="007F2F86" w:rsidP="00BB1199"/>
          <w:p w14:paraId="0BAC0A96" w14:textId="77777777" w:rsidR="007F2F86" w:rsidRPr="00DA1136" w:rsidRDefault="007F2F86" w:rsidP="00BB1199"/>
          <w:p w14:paraId="621ECB19" w14:textId="77777777" w:rsidR="007F2F86" w:rsidRPr="00DA1136" w:rsidRDefault="007F2F86" w:rsidP="00BB1199"/>
          <w:p w14:paraId="5262572C" w14:textId="77777777" w:rsidR="007F2F86" w:rsidRPr="00DA1136" w:rsidRDefault="007F2F86" w:rsidP="00BB1199"/>
          <w:p w14:paraId="21B70BB4" w14:textId="77777777" w:rsidR="007F2F86" w:rsidRPr="00DA1136" w:rsidRDefault="007F2F86" w:rsidP="00BB1199"/>
          <w:p w14:paraId="0648AE45" w14:textId="77777777" w:rsidR="007F2F86" w:rsidRPr="00DA1136" w:rsidRDefault="007F2F86" w:rsidP="00BB1199"/>
          <w:p w14:paraId="2D52312F" w14:textId="77777777" w:rsidR="007F2F86" w:rsidRPr="00DA1136" w:rsidRDefault="007F2F86" w:rsidP="00BB1199"/>
          <w:p w14:paraId="4535A0AE" w14:textId="77777777" w:rsidR="007F2F86" w:rsidRPr="00DA1136" w:rsidRDefault="007F2F86" w:rsidP="00BB1199"/>
          <w:p w14:paraId="35620D6D" w14:textId="77777777" w:rsidR="007F2F86" w:rsidRPr="00DA1136" w:rsidRDefault="007F2F86" w:rsidP="00BB1199"/>
          <w:p w14:paraId="0DA9DCC0" w14:textId="77777777" w:rsidR="007F2F86" w:rsidRPr="00DA1136" w:rsidRDefault="007F2F86" w:rsidP="00BB1199"/>
          <w:p w14:paraId="48867689" w14:textId="77777777" w:rsidR="007F2F86" w:rsidRPr="00DA1136" w:rsidRDefault="007F2F86" w:rsidP="00BB1199"/>
          <w:p w14:paraId="697E35DE" w14:textId="77777777" w:rsidR="007F2F86" w:rsidRPr="00DA1136" w:rsidRDefault="007F2F86" w:rsidP="00BB1199"/>
          <w:p w14:paraId="29E56628" w14:textId="77777777" w:rsidR="007F2F86" w:rsidRPr="00DA1136" w:rsidRDefault="007F2F86" w:rsidP="00BB1199"/>
          <w:p w14:paraId="608CE492" w14:textId="77777777" w:rsidR="007F2F86" w:rsidRPr="00DA1136" w:rsidRDefault="007F2F86" w:rsidP="00BB1199"/>
          <w:p w14:paraId="18299F4A" w14:textId="77777777" w:rsidR="007F2F86" w:rsidRPr="00DA1136" w:rsidRDefault="007F2F86" w:rsidP="00BB1199"/>
          <w:p w14:paraId="0FD0A317" w14:textId="77777777" w:rsidR="007F2F86" w:rsidRPr="00DA1136" w:rsidRDefault="007F2F86" w:rsidP="00BB1199"/>
          <w:p w14:paraId="520D6E97" w14:textId="77777777" w:rsidR="007F2F86" w:rsidRPr="00DA1136" w:rsidRDefault="007F2F86" w:rsidP="00BB1199"/>
          <w:p w14:paraId="68586A66" w14:textId="77777777" w:rsidR="007F2F86" w:rsidRPr="00DA1136" w:rsidRDefault="007F2F86" w:rsidP="00BB1199"/>
          <w:p w14:paraId="22F6B934" w14:textId="77777777" w:rsidR="007F2F86" w:rsidRPr="00DA1136" w:rsidRDefault="007F2F86" w:rsidP="00BB1199"/>
          <w:p w14:paraId="6E2BB3D0" w14:textId="77777777" w:rsidR="00B55EAA" w:rsidRPr="00DA1136" w:rsidRDefault="00B55EAA" w:rsidP="00BB1199"/>
          <w:p w14:paraId="1D9E2E0C" w14:textId="77777777" w:rsidR="00B55EAA" w:rsidRPr="00DA1136" w:rsidRDefault="00B55EAA" w:rsidP="00BB1199"/>
          <w:p w14:paraId="58594305" w14:textId="77777777" w:rsidR="00B55EAA" w:rsidRPr="00DA1136" w:rsidRDefault="00B55EAA" w:rsidP="00BB1199"/>
          <w:p w14:paraId="736D0DA6" w14:textId="77777777" w:rsidR="00B55EAA" w:rsidRPr="00DA1136" w:rsidRDefault="00B55EAA" w:rsidP="00BB1199"/>
          <w:p w14:paraId="39B19CA8" w14:textId="77777777" w:rsidR="00B55EAA" w:rsidRPr="00DA1136" w:rsidRDefault="00B55EAA" w:rsidP="00BB1199"/>
          <w:p w14:paraId="6DD39C8A" w14:textId="77777777" w:rsidR="00B55EAA" w:rsidRPr="00DA1136" w:rsidRDefault="00B55EAA" w:rsidP="00BB1199"/>
          <w:p w14:paraId="6A294D38" w14:textId="77777777" w:rsidR="00B55EAA" w:rsidRPr="00DA1136" w:rsidRDefault="00B55EAA" w:rsidP="00BB1199"/>
          <w:p w14:paraId="4D845D8C" w14:textId="77777777" w:rsidR="00B55EAA" w:rsidRPr="00DA1136" w:rsidRDefault="00B55EAA" w:rsidP="00BB1199"/>
          <w:p w14:paraId="6A059587" w14:textId="77777777" w:rsidR="00B55EAA" w:rsidRPr="00DA1136" w:rsidRDefault="00B55EAA" w:rsidP="00BB1199"/>
          <w:p w14:paraId="73465BCB" w14:textId="77777777" w:rsidR="00B55EAA" w:rsidRPr="00DA1136" w:rsidRDefault="00B55EAA" w:rsidP="00BB1199"/>
          <w:p w14:paraId="6D3C6F55" w14:textId="77777777" w:rsidR="00B55EAA" w:rsidRPr="00DA1136" w:rsidRDefault="00B55EAA" w:rsidP="00BB1199"/>
          <w:p w14:paraId="428801FF" w14:textId="77777777" w:rsidR="00B55EAA" w:rsidRPr="00DA1136" w:rsidRDefault="00B55EAA" w:rsidP="00BB1199"/>
          <w:p w14:paraId="76C15FB0" w14:textId="77777777" w:rsidR="00B55EAA" w:rsidRPr="00DA1136" w:rsidRDefault="00B55EAA" w:rsidP="00BB1199"/>
          <w:p w14:paraId="7380CAC9" w14:textId="77777777" w:rsidR="00B55EAA" w:rsidRPr="00DA1136" w:rsidRDefault="00B55EAA" w:rsidP="00BB1199"/>
          <w:p w14:paraId="2EF077EF" w14:textId="77777777" w:rsidR="00B55EAA" w:rsidRPr="00DA1136" w:rsidRDefault="00B55EAA" w:rsidP="00BB1199"/>
          <w:p w14:paraId="5A35C97D" w14:textId="77777777" w:rsidR="00B55EAA" w:rsidRPr="00DA1136" w:rsidRDefault="00B55EAA" w:rsidP="00BB1199"/>
          <w:p w14:paraId="5C7FAD0E" w14:textId="77777777" w:rsidR="00B55EAA" w:rsidRPr="00DA1136" w:rsidRDefault="00B55EAA" w:rsidP="00BB1199"/>
          <w:p w14:paraId="291EDA76" w14:textId="77777777" w:rsidR="00B55EAA" w:rsidRPr="00DA1136" w:rsidRDefault="00B55EAA" w:rsidP="00BB1199"/>
          <w:p w14:paraId="1FAFBBAF" w14:textId="77777777" w:rsidR="00B55EAA" w:rsidRPr="00DA1136" w:rsidRDefault="00B55EAA" w:rsidP="00BB1199"/>
          <w:p w14:paraId="33BFE1BF" w14:textId="77777777" w:rsidR="00B55EAA" w:rsidRPr="00DA1136" w:rsidRDefault="00B55EAA" w:rsidP="00BB1199"/>
          <w:p w14:paraId="63442690" w14:textId="77777777" w:rsidR="00B55EAA" w:rsidRPr="00DA1136" w:rsidRDefault="00B55EAA" w:rsidP="00BB1199"/>
          <w:p w14:paraId="48885BC5" w14:textId="77777777" w:rsidR="00B55EAA" w:rsidRPr="00DA1136" w:rsidRDefault="00B55EAA" w:rsidP="00BB1199"/>
          <w:p w14:paraId="32357F44" w14:textId="77777777" w:rsidR="00B55EAA" w:rsidRPr="00DA1136" w:rsidRDefault="00B55EAA" w:rsidP="00BB1199"/>
          <w:p w14:paraId="4960205B" w14:textId="77777777" w:rsidR="00B55EAA" w:rsidRPr="00DA1136" w:rsidRDefault="00B55EAA" w:rsidP="00BB1199"/>
          <w:p w14:paraId="07C615EF" w14:textId="77777777" w:rsidR="00B55EAA" w:rsidRPr="00DA1136" w:rsidRDefault="00B55EAA" w:rsidP="00BB1199"/>
          <w:p w14:paraId="55442141" w14:textId="77777777" w:rsidR="00B55EAA" w:rsidRPr="00DA1136" w:rsidRDefault="00B55EAA" w:rsidP="00BB1199"/>
          <w:p w14:paraId="31BC93A1" w14:textId="77777777" w:rsidR="00C45630" w:rsidRPr="00DA1136" w:rsidRDefault="00C45630" w:rsidP="00BB1199"/>
          <w:p w14:paraId="2A78593D" w14:textId="77777777" w:rsidR="00C45630" w:rsidRPr="00DA1136" w:rsidRDefault="00C45630" w:rsidP="00BB1199"/>
          <w:p w14:paraId="66043327" w14:textId="77777777" w:rsidR="00C45630" w:rsidRPr="00DA1136" w:rsidRDefault="00C45630" w:rsidP="00BB1199"/>
          <w:p w14:paraId="4A2B4FA3" w14:textId="77777777" w:rsidR="00C45630" w:rsidRPr="00DA1136" w:rsidRDefault="00C45630" w:rsidP="00BB1199"/>
          <w:p w14:paraId="7A9AEC57" w14:textId="77777777" w:rsidR="00C45630" w:rsidRPr="00DA1136" w:rsidRDefault="00C45630" w:rsidP="00BB1199"/>
          <w:p w14:paraId="2469B46D" w14:textId="77777777" w:rsidR="00C45630" w:rsidRPr="00DA1136" w:rsidRDefault="00C45630" w:rsidP="00BB1199"/>
          <w:p w14:paraId="063B85F4" w14:textId="77777777" w:rsidR="00C45630" w:rsidRPr="00DA1136" w:rsidRDefault="00C45630" w:rsidP="00BB1199"/>
          <w:p w14:paraId="348E98A4" w14:textId="77777777" w:rsidR="00C45630" w:rsidRPr="00DA1136" w:rsidRDefault="00C45630" w:rsidP="00BB1199"/>
          <w:p w14:paraId="5D828B7E" w14:textId="77777777" w:rsidR="00C45630" w:rsidRPr="00DA1136" w:rsidRDefault="00C45630" w:rsidP="00BB1199"/>
          <w:p w14:paraId="742E3849" w14:textId="77777777" w:rsidR="00C45630" w:rsidRPr="00DA1136" w:rsidRDefault="00C45630" w:rsidP="00BB1199"/>
          <w:p w14:paraId="2C324EB8" w14:textId="77777777" w:rsidR="00C45630" w:rsidRPr="00DA1136" w:rsidRDefault="00C45630" w:rsidP="00BB1199"/>
          <w:p w14:paraId="2102A89C" w14:textId="77777777" w:rsidR="00C45630" w:rsidRPr="00DA1136" w:rsidRDefault="00C45630" w:rsidP="00BB1199"/>
          <w:p w14:paraId="7E0B323F" w14:textId="77777777" w:rsidR="00C45630" w:rsidRPr="00DA1136" w:rsidRDefault="00C45630" w:rsidP="00BB1199"/>
          <w:p w14:paraId="0E93A954" w14:textId="77777777" w:rsidR="009E47A4" w:rsidRPr="00DA1136" w:rsidRDefault="009E47A4" w:rsidP="00C45630"/>
          <w:p w14:paraId="51D3BA88" w14:textId="77777777" w:rsidR="00C45630" w:rsidRPr="00FA7CC7" w:rsidRDefault="00C45630" w:rsidP="00C45630">
            <w:pPr>
              <w:rPr>
                <w:b/>
                <w:bCs/>
              </w:rPr>
            </w:pPr>
            <w:r w:rsidRPr="00FA7CC7">
              <w:rPr>
                <w:b/>
                <w:bCs/>
              </w:rPr>
              <w:t>2. Costos y comisiones.</w:t>
            </w:r>
          </w:p>
          <w:p w14:paraId="42A7C407" w14:textId="77777777" w:rsidR="00C45630" w:rsidRPr="00DA1136" w:rsidRDefault="00A62389" w:rsidP="00BB1199">
            <w:r w:rsidRPr="00DA1136">
              <w:t>La política monetaria corresponde al Banco Central de Costa Rica</w:t>
            </w:r>
            <w:r w:rsidR="00107957" w:rsidRPr="00DA1136">
              <w:t>, lo mismo que el Monex.</w:t>
            </w:r>
          </w:p>
          <w:p w14:paraId="39182B77" w14:textId="77777777" w:rsidR="00EF21B3" w:rsidRPr="00DA1136" w:rsidRDefault="00EF21B3" w:rsidP="00EF21B3">
            <w:r>
              <w:t>Además, favor v</w:t>
            </w:r>
            <w:r w:rsidRPr="00DA1136">
              <w:t xml:space="preserve">er comentarios: </w:t>
            </w:r>
            <w:r w:rsidRPr="00FA7CC7">
              <w:rPr>
                <w:b/>
                <w:bCs/>
              </w:rPr>
              <w:t>Fondo ICE/SUPEN</w:t>
            </w:r>
            <w:r w:rsidRPr="00DA1136">
              <w:t>.</w:t>
            </w:r>
          </w:p>
          <w:p w14:paraId="6F4855C9" w14:textId="77777777" w:rsidR="003B41D1" w:rsidRDefault="003B41D1" w:rsidP="00902B12"/>
          <w:p w14:paraId="450FECE4" w14:textId="77777777" w:rsidR="00EF21B3" w:rsidRDefault="00EF21B3" w:rsidP="00902B12"/>
          <w:p w14:paraId="0EFFBDD3" w14:textId="77777777" w:rsidR="00542843" w:rsidRDefault="00542843" w:rsidP="00902B12"/>
          <w:p w14:paraId="0421F6B6" w14:textId="77777777" w:rsidR="00542843" w:rsidRDefault="00542843" w:rsidP="00902B12"/>
          <w:p w14:paraId="26025A4B" w14:textId="77777777" w:rsidR="00542843" w:rsidRDefault="00542843" w:rsidP="00902B12"/>
          <w:p w14:paraId="434EAF3C" w14:textId="77777777" w:rsidR="00542843" w:rsidRDefault="00542843" w:rsidP="00902B12"/>
          <w:p w14:paraId="3CA56F48" w14:textId="77777777" w:rsidR="00542843" w:rsidRDefault="00542843" w:rsidP="00902B12"/>
          <w:p w14:paraId="31AAF8DF" w14:textId="77777777" w:rsidR="00542843" w:rsidRDefault="00542843" w:rsidP="00902B12"/>
          <w:p w14:paraId="071A4314" w14:textId="77777777" w:rsidR="00542843" w:rsidRDefault="00542843" w:rsidP="00902B12"/>
          <w:p w14:paraId="158C155C" w14:textId="77777777" w:rsidR="00542843" w:rsidRDefault="00542843" w:rsidP="00902B12"/>
          <w:p w14:paraId="3A1C1BA7" w14:textId="77777777" w:rsidR="00542843" w:rsidRDefault="00542843" w:rsidP="00902B12"/>
          <w:p w14:paraId="635D961B" w14:textId="77777777" w:rsidR="00542843" w:rsidRDefault="00542843" w:rsidP="00902B12"/>
          <w:p w14:paraId="18546BBE" w14:textId="77777777" w:rsidR="00542843" w:rsidRDefault="00542843" w:rsidP="00902B12"/>
          <w:p w14:paraId="79B61B02" w14:textId="77777777" w:rsidR="00542843" w:rsidRDefault="00542843" w:rsidP="00902B12"/>
          <w:p w14:paraId="5A370466" w14:textId="77777777" w:rsidR="00542843" w:rsidRDefault="00542843" w:rsidP="00902B12"/>
          <w:p w14:paraId="0BB0B3D2" w14:textId="77777777" w:rsidR="00542843" w:rsidRDefault="00542843" w:rsidP="00902B12"/>
          <w:p w14:paraId="14EF2EF2" w14:textId="77777777" w:rsidR="00542843" w:rsidRDefault="00542843" w:rsidP="00902B12"/>
          <w:p w14:paraId="36E8C179" w14:textId="77777777" w:rsidR="00542843" w:rsidRDefault="00542843" w:rsidP="00902B12"/>
          <w:p w14:paraId="1A530458" w14:textId="77777777" w:rsidR="00542843" w:rsidRDefault="00542843" w:rsidP="00902B12"/>
          <w:p w14:paraId="7DDA5F15" w14:textId="77777777" w:rsidR="00542843" w:rsidRDefault="00542843" w:rsidP="00902B12"/>
          <w:p w14:paraId="3D7EB4E5" w14:textId="77777777" w:rsidR="00542843" w:rsidRDefault="00542843" w:rsidP="00902B12"/>
          <w:p w14:paraId="40EE903B" w14:textId="77777777" w:rsidR="00542843" w:rsidRDefault="00542843" w:rsidP="00902B12"/>
          <w:p w14:paraId="1B1FF583" w14:textId="77777777" w:rsidR="00542843" w:rsidRDefault="00542843" w:rsidP="00902B12"/>
          <w:p w14:paraId="341A6068" w14:textId="77777777" w:rsidR="00542843" w:rsidRDefault="00542843" w:rsidP="00902B12"/>
          <w:p w14:paraId="72F149FF" w14:textId="77777777" w:rsidR="00542843" w:rsidRDefault="00542843" w:rsidP="00902B12"/>
          <w:p w14:paraId="2DB0C222" w14:textId="77777777" w:rsidR="00542843" w:rsidRDefault="00542843" w:rsidP="00902B12"/>
          <w:p w14:paraId="71146DFC" w14:textId="77777777" w:rsidR="00542843" w:rsidRDefault="00542843" w:rsidP="00902B12"/>
          <w:p w14:paraId="37CC625F" w14:textId="77777777" w:rsidR="00542843" w:rsidRDefault="00542843" w:rsidP="00902B12"/>
          <w:p w14:paraId="36E699E0" w14:textId="77777777" w:rsidR="00542843" w:rsidRDefault="00542843" w:rsidP="00902B12"/>
          <w:p w14:paraId="47A9E52A" w14:textId="77777777" w:rsidR="00542843" w:rsidRDefault="00542843" w:rsidP="00902B12"/>
          <w:p w14:paraId="5BC95E56" w14:textId="77777777" w:rsidR="00542843" w:rsidRDefault="00542843" w:rsidP="00902B12"/>
          <w:p w14:paraId="57350087" w14:textId="77777777" w:rsidR="00542843" w:rsidRDefault="00542843" w:rsidP="00902B12"/>
          <w:p w14:paraId="27621B7A" w14:textId="77777777" w:rsidR="00542843" w:rsidRDefault="00542843" w:rsidP="00902B12"/>
          <w:p w14:paraId="79C4E864" w14:textId="77777777" w:rsidR="00542843" w:rsidRDefault="00542843" w:rsidP="00902B12"/>
          <w:p w14:paraId="121432B3" w14:textId="77777777" w:rsidR="00542843" w:rsidRDefault="00542843" w:rsidP="00902B12"/>
          <w:p w14:paraId="2BE9C5EF" w14:textId="77777777" w:rsidR="00542843" w:rsidRDefault="00542843" w:rsidP="00902B12"/>
          <w:p w14:paraId="425B318C" w14:textId="77777777" w:rsidR="00542843" w:rsidRDefault="00542843" w:rsidP="00902B12"/>
          <w:p w14:paraId="3F88ABE4" w14:textId="77777777" w:rsidR="00542843" w:rsidRDefault="00542843" w:rsidP="00902B12"/>
          <w:p w14:paraId="7937101C" w14:textId="77777777" w:rsidR="00542843" w:rsidRDefault="00542843" w:rsidP="00902B12"/>
          <w:p w14:paraId="5071EA8C" w14:textId="77777777" w:rsidR="00542843" w:rsidRDefault="00542843" w:rsidP="00902B12"/>
          <w:p w14:paraId="3D3FD7BF" w14:textId="77777777" w:rsidR="00542843" w:rsidRDefault="00542843" w:rsidP="00902B12"/>
          <w:p w14:paraId="5544A0E3" w14:textId="77777777" w:rsidR="00542843" w:rsidRDefault="00542843" w:rsidP="00902B12"/>
          <w:p w14:paraId="44DD10E3" w14:textId="77777777" w:rsidR="00542843" w:rsidRDefault="00542843" w:rsidP="00902B12"/>
          <w:p w14:paraId="6FDDA7EF" w14:textId="77777777" w:rsidR="00542843" w:rsidRDefault="00542843" w:rsidP="00902B12"/>
          <w:p w14:paraId="25806301" w14:textId="77777777" w:rsidR="00542843" w:rsidRDefault="00542843" w:rsidP="00902B12"/>
          <w:p w14:paraId="4962D57C" w14:textId="77777777" w:rsidR="00542843" w:rsidRDefault="00542843" w:rsidP="00902B12"/>
          <w:p w14:paraId="6FA4D1C2" w14:textId="77777777" w:rsidR="00542843" w:rsidRDefault="00542843" w:rsidP="00902B12"/>
          <w:p w14:paraId="210FE5E8" w14:textId="77777777" w:rsidR="00542843" w:rsidRDefault="00542843" w:rsidP="00902B12"/>
          <w:p w14:paraId="79F3B471" w14:textId="77777777" w:rsidR="00542843" w:rsidRDefault="00542843" w:rsidP="00902B12"/>
          <w:p w14:paraId="155E57FA" w14:textId="77777777" w:rsidR="00542843" w:rsidRDefault="00542843" w:rsidP="00902B12"/>
          <w:p w14:paraId="5F61CE49" w14:textId="77777777" w:rsidR="00542843" w:rsidRDefault="00542843" w:rsidP="00902B12"/>
          <w:p w14:paraId="4633B6C3" w14:textId="77777777" w:rsidR="00542843" w:rsidRDefault="00542843" w:rsidP="00902B12"/>
          <w:p w14:paraId="48F7346D" w14:textId="77777777" w:rsidR="00542843" w:rsidRDefault="00542843" w:rsidP="00902B12"/>
          <w:p w14:paraId="4EA30E6A" w14:textId="77777777" w:rsidR="00542843" w:rsidRDefault="00542843" w:rsidP="00902B12"/>
          <w:p w14:paraId="606CEA06" w14:textId="77777777" w:rsidR="00542843" w:rsidRDefault="00542843" w:rsidP="00902B12"/>
          <w:p w14:paraId="4D5AC923" w14:textId="77777777" w:rsidR="00542843" w:rsidRDefault="00542843" w:rsidP="00902B12"/>
          <w:p w14:paraId="2EE31F34" w14:textId="77777777" w:rsidR="00542843" w:rsidRDefault="00542843" w:rsidP="00902B12"/>
          <w:p w14:paraId="5A30DF69" w14:textId="77777777" w:rsidR="00542843" w:rsidRDefault="00542843" w:rsidP="00902B12"/>
          <w:p w14:paraId="1FF7B0F6" w14:textId="77777777" w:rsidR="00542843" w:rsidRDefault="00542843" w:rsidP="00902B12"/>
          <w:p w14:paraId="7C4CA3D5" w14:textId="77777777" w:rsidR="00542843" w:rsidRDefault="00542843" w:rsidP="00902B12"/>
          <w:p w14:paraId="233613BF" w14:textId="77777777" w:rsidR="00542843" w:rsidRDefault="00542843" w:rsidP="00902B12"/>
          <w:p w14:paraId="6CA0597B" w14:textId="77777777" w:rsidR="00542843" w:rsidRDefault="00542843" w:rsidP="00902B12"/>
          <w:p w14:paraId="5E95AE61" w14:textId="77777777" w:rsidR="00542843" w:rsidRDefault="00542843" w:rsidP="00902B12"/>
          <w:p w14:paraId="2F4FB241" w14:textId="77777777" w:rsidR="00542843" w:rsidRDefault="00542843" w:rsidP="00902B12"/>
          <w:p w14:paraId="1F763A7C" w14:textId="77777777" w:rsidR="00542843" w:rsidRDefault="00542843" w:rsidP="00902B12"/>
          <w:p w14:paraId="15AE7CD8" w14:textId="77777777" w:rsidR="00542843" w:rsidRDefault="00542843" w:rsidP="00902B12"/>
          <w:p w14:paraId="61F81D1E" w14:textId="77777777" w:rsidR="00542843" w:rsidRDefault="00542843" w:rsidP="00902B12"/>
          <w:p w14:paraId="06820003" w14:textId="77777777" w:rsidR="00542843" w:rsidRDefault="00542843" w:rsidP="00902B12"/>
          <w:p w14:paraId="44472D16" w14:textId="77777777" w:rsidR="00542843" w:rsidRDefault="00542843" w:rsidP="00902B12"/>
          <w:p w14:paraId="79996F18" w14:textId="77777777" w:rsidR="00542843" w:rsidRDefault="00542843" w:rsidP="00902B12"/>
          <w:p w14:paraId="0E47DE36" w14:textId="77777777" w:rsidR="00542843" w:rsidRDefault="00542843" w:rsidP="00902B12"/>
          <w:p w14:paraId="76248612" w14:textId="77777777" w:rsidR="00542843" w:rsidRDefault="00542843" w:rsidP="00902B12"/>
          <w:p w14:paraId="7238532D" w14:textId="77777777" w:rsidR="00542843" w:rsidRDefault="00542843" w:rsidP="00902B12"/>
          <w:p w14:paraId="75DBE240" w14:textId="77777777" w:rsidR="00542843" w:rsidRDefault="00542843" w:rsidP="00902B12"/>
          <w:p w14:paraId="0F83A9AA" w14:textId="77777777" w:rsidR="00542843" w:rsidRDefault="00542843" w:rsidP="00902B12"/>
          <w:p w14:paraId="49108E56" w14:textId="77777777" w:rsidR="00542843" w:rsidRDefault="00542843" w:rsidP="00902B12"/>
          <w:p w14:paraId="1B316032" w14:textId="77777777" w:rsidR="00542843" w:rsidRDefault="00542843" w:rsidP="00902B12"/>
          <w:p w14:paraId="504427AB" w14:textId="77777777" w:rsidR="00542843" w:rsidRDefault="00542843" w:rsidP="00902B12"/>
          <w:p w14:paraId="61B2AC3A" w14:textId="77777777" w:rsidR="00542843" w:rsidRDefault="00542843" w:rsidP="00902B12"/>
          <w:p w14:paraId="1E86167F" w14:textId="77777777" w:rsidR="00542843" w:rsidRDefault="00542843" w:rsidP="00902B12"/>
          <w:p w14:paraId="1919CF6B" w14:textId="77777777" w:rsidR="00542843" w:rsidRDefault="00542843" w:rsidP="00902B12"/>
          <w:p w14:paraId="0E370814" w14:textId="77777777" w:rsidR="00542843" w:rsidRPr="00DA1136" w:rsidRDefault="00542843" w:rsidP="00902B12"/>
          <w:p w14:paraId="703D9053" w14:textId="77777777" w:rsidR="00902B12" w:rsidRPr="00FA7CC7" w:rsidRDefault="0006263A" w:rsidP="00902B12">
            <w:pPr>
              <w:rPr>
                <w:b/>
                <w:bCs/>
              </w:rPr>
            </w:pPr>
            <w:r w:rsidRPr="00FA7CC7">
              <w:rPr>
                <w:b/>
                <w:bCs/>
              </w:rPr>
              <w:t>3. Implicaciones y decisiones</w:t>
            </w:r>
          </w:p>
          <w:p w14:paraId="04D6AEAD" w14:textId="77777777" w:rsidR="00670DEF" w:rsidRPr="00DA1136" w:rsidRDefault="00902B12" w:rsidP="00F816D6">
            <w:r w:rsidRPr="00DA1136">
              <w:t>La disminución en el límite máximo del sector público tiene</w:t>
            </w:r>
            <w:r w:rsidR="00F816D6" w:rsidRPr="00DA1136">
              <w:t xml:space="preserve"> una amplia gradualidad para no generar inestabilidad en el sector.</w:t>
            </w:r>
          </w:p>
          <w:p w14:paraId="3AF7D354" w14:textId="77777777" w:rsidR="002156D2" w:rsidRPr="00DA1136" w:rsidRDefault="002156D2" w:rsidP="00902B12">
            <w:r w:rsidRPr="00DA1136">
              <w:t>En relación con las coberturas, ver comentarios anteriores.</w:t>
            </w:r>
          </w:p>
          <w:p w14:paraId="507304FF" w14:textId="77777777" w:rsidR="00F50D86" w:rsidRPr="00DA1136" w:rsidRDefault="00F50D86" w:rsidP="00902B12"/>
          <w:p w14:paraId="67938F6A" w14:textId="77777777" w:rsidR="00F50D86" w:rsidRPr="00DA1136" w:rsidRDefault="00F50D86" w:rsidP="00902B12"/>
          <w:p w14:paraId="22F1BB1D" w14:textId="77777777" w:rsidR="00F50D86" w:rsidRPr="00DA1136" w:rsidRDefault="00F50D86" w:rsidP="00902B12"/>
          <w:p w14:paraId="2EA406B3" w14:textId="77777777" w:rsidR="00F50D86" w:rsidRPr="00DA1136" w:rsidRDefault="00F50D86" w:rsidP="00902B12"/>
          <w:p w14:paraId="65A1DF96" w14:textId="77777777" w:rsidR="00F50D86" w:rsidRPr="00DA1136" w:rsidRDefault="00F50D86" w:rsidP="00902B12"/>
          <w:p w14:paraId="0E0B602D" w14:textId="77777777" w:rsidR="00F50D86" w:rsidRPr="00DA1136" w:rsidRDefault="00F50D86" w:rsidP="00902B12"/>
          <w:p w14:paraId="65755A4A" w14:textId="77777777" w:rsidR="00F50D86" w:rsidRPr="00DA1136" w:rsidRDefault="00F50D86" w:rsidP="00902B12"/>
          <w:p w14:paraId="6215AEB5" w14:textId="77777777" w:rsidR="00F50D86" w:rsidRPr="00DA1136" w:rsidRDefault="00F50D86" w:rsidP="00902B12"/>
          <w:p w14:paraId="74DC502F" w14:textId="77777777" w:rsidR="00E61415" w:rsidRPr="00DA1136" w:rsidRDefault="00E61415" w:rsidP="00902B12"/>
          <w:p w14:paraId="42FD13A2" w14:textId="77777777" w:rsidR="00E61415" w:rsidRPr="00DA1136" w:rsidRDefault="00E61415" w:rsidP="00902B12"/>
          <w:p w14:paraId="01E711BC" w14:textId="77777777" w:rsidR="00F50D86" w:rsidRPr="00DA1136" w:rsidRDefault="00F50D86" w:rsidP="00902B12"/>
          <w:p w14:paraId="18A011A5" w14:textId="77777777" w:rsidR="00B70A81" w:rsidRPr="00DA1136" w:rsidRDefault="00B70A81" w:rsidP="00902B12"/>
          <w:p w14:paraId="4FD1B132" w14:textId="77777777" w:rsidR="00B70A81" w:rsidRPr="00DA1136" w:rsidRDefault="00B70A81" w:rsidP="00902B12"/>
          <w:p w14:paraId="3A87BC3B" w14:textId="77777777" w:rsidR="00B70A81" w:rsidRPr="00DA1136" w:rsidRDefault="00B70A81" w:rsidP="00902B12"/>
          <w:p w14:paraId="044D00F3" w14:textId="77777777" w:rsidR="00B70A81" w:rsidRPr="00DA1136" w:rsidRDefault="00B70A81" w:rsidP="00902B12"/>
          <w:p w14:paraId="192A11C4" w14:textId="77777777" w:rsidR="00B70A81" w:rsidRPr="00DA1136" w:rsidRDefault="00B70A81" w:rsidP="00902B12"/>
          <w:p w14:paraId="7DF85B79" w14:textId="77777777" w:rsidR="00B70A81" w:rsidRPr="00DA1136" w:rsidRDefault="00B70A81" w:rsidP="00902B12"/>
          <w:p w14:paraId="3BDA37E7" w14:textId="77777777" w:rsidR="00B70A81" w:rsidRPr="00DA1136" w:rsidRDefault="00B70A81" w:rsidP="00902B12"/>
          <w:p w14:paraId="3D9F7801" w14:textId="77777777" w:rsidR="00B70A81" w:rsidRPr="00DA1136" w:rsidRDefault="00B70A81" w:rsidP="00902B12"/>
          <w:p w14:paraId="29CB8519" w14:textId="77777777" w:rsidR="00B70A81" w:rsidRPr="00DA1136" w:rsidRDefault="00B70A81" w:rsidP="00902B12"/>
          <w:p w14:paraId="7FBDD589" w14:textId="77777777" w:rsidR="00B70A81" w:rsidRPr="00DA1136" w:rsidRDefault="00B70A81" w:rsidP="00902B12"/>
          <w:p w14:paraId="30B5F796" w14:textId="77777777" w:rsidR="00B70A81" w:rsidRPr="00DA1136" w:rsidRDefault="00B70A81" w:rsidP="00902B12"/>
          <w:p w14:paraId="4FE7F10F" w14:textId="77777777" w:rsidR="00B70A81" w:rsidRPr="00DA1136" w:rsidRDefault="00B70A81" w:rsidP="00902B12"/>
          <w:p w14:paraId="1017B5CD" w14:textId="77777777" w:rsidR="00B70A81" w:rsidRPr="00DA1136" w:rsidRDefault="00B70A81" w:rsidP="00902B12"/>
          <w:p w14:paraId="78A63BC8" w14:textId="77777777" w:rsidR="00B70A81" w:rsidRPr="00DA1136" w:rsidRDefault="00B70A81" w:rsidP="00902B12"/>
          <w:p w14:paraId="1C505E58" w14:textId="77777777" w:rsidR="00B70A81" w:rsidRPr="00DA1136" w:rsidRDefault="00B70A81" w:rsidP="00902B12"/>
          <w:p w14:paraId="52402504" w14:textId="77777777" w:rsidR="00B70A81" w:rsidRPr="00DA1136" w:rsidRDefault="00B70A81" w:rsidP="00902B12"/>
          <w:p w14:paraId="01D8FC80" w14:textId="77777777" w:rsidR="00B70A81" w:rsidRPr="00DA1136" w:rsidRDefault="00B70A81" w:rsidP="00902B12"/>
          <w:p w14:paraId="7C5B5924" w14:textId="77777777" w:rsidR="00B70A81" w:rsidRPr="00DA1136" w:rsidRDefault="00B70A81" w:rsidP="00902B12"/>
          <w:p w14:paraId="5777C572" w14:textId="77777777" w:rsidR="00B70A81" w:rsidRPr="00DA1136" w:rsidRDefault="00B70A81" w:rsidP="00902B12"/>
          <w:p w14:paraId="28DE91A3" w14:textId="77777777" w:rsidR="00DD3F18" w:rsidRPr="00FA7CC7" w:rsidRDefault="00DD3F18" w:rsidP="00F50D86">
            <w:pPr>
              <w:rPr>
                <w:b/>
                <w:bCs/>
              </w:rPr>
            </w:pPr>
            <w:r w:rsidRPr="00FA7CC7">
              <w:rPr>
                <w:b/>
                <w:bCs/>
              </w:rPr>
              <w:t>4. Costos imputables</w:t>
            </w:r>
          </w:p>
          <w:p w14:paraId="7D85F147" w14:textId="77777777" w:rsidR="00F73BC1" w:rsidRPr="00DA1136" w:rsidRDefault="0052412F" w:rsidP="00F32A64">
            <w:r w:rsidRPr="00DA1136">
              <w:t xml:space="preserve">El artículo </w:t>
            </w:r>
            <w:r w:rsidR="001C3170" w:rsidRPr="00DA1136">
              <w:t>19 del Reglamento de Gestión de Activos establece que:</w:t>
            </w:r>
            <w:r w:rsidR="00F73BC1" w:rsidRPr="00DA1136">
              <w:t xml:space="preserve"> </w:t>
            </w:r>
            <w:r w:rsidR="001C3170" w:rsidRPr="00DA1136">
              <w:t>“</w:t>
            </w:r>
            <w:r w:rsidR="00F73BC1" w:rsidRPr="00DA1136">
              <w:t xml:space="preserve">Para efectos de cobertura, las entidades reguladas pueden realizar </w:t>
            </w:r>
            <w:r w:rsidR="00F73BC1" w:rsidRPr="00DA1136">
              <w:rPr>
                <w:u w:val="single"/>
              </w:rPr>
              <w:t>por parte de los fondos administrados</w:t>
            </w:r>
            <w:r w:rsidR="00F73BC1" w:rsidRPr="00DA1136">
              <w:t>, operaciones con los siguientes instrumentos financieros derivados: contratos de futuros, contratos a plazo (forwards), permutas financieras (swaps), y contratos de opciones</w:t>
            </w:r>
            <w:r w:rsidR="001C3170" w:rsidRPr="00DA1136">
              <w:t>.”</w:t>
            </w:r>
          </w:p>
          <w:p w14:paraId="1686338C" w14:textId="77777777" w:rsidR="001C3170" w:rsidRPr="00DA1136" w:rsidRDefault="001C3170" w:rsidP="00F32A64">
            <w:r w:rsidRPr="00DA1136">
              <w:lastRenderedPageBreak/>
              <w:t>Adicionalmente, los artículos 63 y 64 del mismo reglamento, establecen</w:t>
            </w:r>
            <w:r w:rsidR="006801E9" w:rsidRPr="00DA1136">
              <w:t xml:space="preserve"> los costos imputados al fondo y a las entidades.</w:t>
            </w:r>
          </w:p>
          <w:p w14:paraId="357433FD" w14:textId="77777777" w:rsidR="00CA25D1" w:rsidRPr="00DA1136" w:rsidRDefault="00C60124" w:rsidP="00BB1199">
            <w:r w:rsidRPr="00DA1136">
              <w:t xml:space="preserve">Los derivados de coberturas son </w:t>
            </w:r>
            <w:r w:rsidR="005B16C8" w:rsidRPr="00DA1136">
              <w:t>para protección de los activos de los afiliados</w:t>
            </w:r>
            <w:r w:rsidR="0085014B" w:rsidRPr="00DA1136">
              <w:t>, de manera que, en el caso concreto, las volatilidades en los precios de las monedas extranjeras</w:t>
            </w:r>
            <w:r w:rsidR="003B7F18" w:rsidRPr="00DA1136">
              <w:t xml:space="preserve"> en que están nominadas las inversiones de los fondos, nominados en moneda local y </w:t>
            </w:r>
            <w:r w:rsidR="006D6C94" w:rsidRPr="00DA1136">
              <w:t xml:space="preserve">con pasivos </w:t>
            </w:r>
            <w:r w:rsidR="004A01CF" w:rsidRPr="00DA1136">
              <w:t xml:space="preserve">en colones, no </w:t>
            </w:r>
            <w:r w:rsidR="00DB4D10" w:rsidRPr="00DA1136">
              <w:t>perjudiquen</w:t>
            </w:r>
            <w:r w:rsidR="004A01CF" w:rsidRPr="00DA1136">
              <w:t xml:space="preserve"> a los afiliados o pensionados que</w:t>
            </w:r>
            <w:r w:rsidR="00D61329" w:rsidRPr="00DA1136">
              <w:t xml:space="preserve">, al momento, </w:t>
            </w:r>
            <w:r w:rsidR="004A01CF" w:rsidRPr="00DA1136">
              <w:t>solicit</w:t>
            </w:r>
            <w:r w:rsidR="00D61329" w:rsidRPr="00DA1136">
              <w:t>e</w:t>
            </w:r>
            <w:r w:rsidR="004A01CF" w:rsidRPr="00DA1136">
              <w:t>n traslados hacia otras entidades, adquier</w:t>
            </w:r>
            <w:r w:rsidR="00D61329" w:rsidRPr="00DA1136">
              <w:t>a</w:t>
            </w:r>
            <w:r w:rsidR="004A01CF" w:rsidRPr="00DA1136">
              <w:t>n un producto de desacumulación o</w:t>
            </w:r>
            <w:r w:rsidR="00AB61D6" w:rsidRPr="00DA1136">
              <w:t xml:space="preserve"> </w:t>
            </w:r>
            <w:r w:rsidR="00D61329" w:rsidRPr="00DA1136">
              <w:t xml:space="preserve">cuando </w:t>
            </w:r>
            <w:r w:rsidR="00AB61D6" w:rsidRPr="00DA1136">
              <w:t>reali</w:t>
            </w:r>
            <w:r w:rsidR="00E87D4D" w:rsidRPr="00DA1136">
              <w:t>cen</w:t>
            </w:r>
            <w:r w:rsidR="00AB61D6" w:rsidRPr="00DA1136">
              <w:t xml:space="preserve"> un retiro de recursos</w:t>
            </w:r>
            <w:r w:rsidR="00D61329" w:rsidRPr="00DA1136">
              <w:t>.</w:t>
            </w:r>
          </w:p>
          <w:p w14:paraId="45FB383E" w14:textId="77777777" w:rsidR="00E87D4D" w:rsidRPr="00DA1136" w:rsidRDefault="00A37BE4" w:rsidP="00BB1199">
            <w:r w:rsidRPr="00DA1136">
              <w:t>Las garantías son, consecuentemente, con activos del propio fondo (véase art. 25 del RGA</w:t>
            </w:r>
            <w:r w:rsidR="00482537" w:rsidRPr="00DA1136">
              <w:t>).</w:t>
            </w:r>
          </w:p>
          <w:p w14:paraId="51A9795D" w14:textId="77777777" w:rsidR="00FA682F" w:rsidRPr="00DA1136" w:rsidRDefault="00FA682F" w:rsidP="00BB1199">
            <w:r w:rsidRPr="00DA1136">
              <w:t xml:space="preserve">Si bien los costos de los contratos marco son imputables a las entidades, según indica el artículo </w:t>
            </w:r>
            <w:r w:rsidR="00204C39" w:rsidRPr="00DA1136">
              <w:t>64, antes citado, tratándose de mercados OTC</w:t>
            </w:r>
            <w:r w:rsidR="00B63D6B" w:rsidRPr="00DA1136">
              <w:t xml:space="preserve">, </w:t>
            </w:r>
            <w:r w:rsidR="00E72BBD" w:rsidRPr="00DA1136">
              <w:t xml:space="preserve">no señala dicha norma el costo de las </w:t>
            </w:r>
            <w:r w:rsidR="00E72BBD" w:rsidRPr="00DA1136">
              <w:lastRenderedPageBreak/>
              <w:t xml:space="preserve">operaciones </w:t>
            </w:r>
            <w:r w:rsidR="0068525D" w:rsidRPr="00DA1136">
              <w:t>particulares que se realicen al amparo del mismo</w:t>
            </w:r>
            <w:r w:rsidR="003D37D8" w:rsidRPr="00DA1136">
              <w:t>,</w:t>
            </w:r>
            <w:r w:rsidR="006801E9" w:rsidRPr="00DA1136">
              <w:t xml:space="preserve"> de donde, de natural, los costos por las operaciones particul</w:t>
            </w:r>
            <w:r w:rsidR="00413642" w:rsidRPr="00DA1136">
              <w:t>a</w:t>
            </w:r>
            <w:r w:rsidR="006801E9" w:rsidRPr="00DA1136">
              <w:t>res deben ser asumidos por los</w:t>
            </w:r>
            <w:r w:rsidR="00413642" w:rsidRPr="00DA1136">
              <w:t xml:space="preserve"> fondos, a contrario sensu.</w:t>
            </w:r>
            <w:r w:rsidR="006801E9" w:rsidRPr="00DA1136">
              <w:t xml:space="preserve"> </w:t>
            </w:r>
          </w:p>
          <w:p w14:paraId="6DA1D2A1" w14:textId="77777777" w:rsidR="00E306BA" w:rsidRPr="00DA1136" w:rsidRDefault="00E306BA" w:rsidP="00BB1199"/>
          <w:p w14:paraId="741A4F44" w14:textId="77777777" w:rsidR="00DD3F18" w:rsidRPr="00FA7CC7" w:rsidRDefault="00DD3F18" w:rsidP="00BB1199">
            <w:pPr>
              <w:rPr>
                <w:b/>
                <w:bCs/>
              </w:rPr>
            </w:pPr>
            <w:r w:rsidRPr="00FA7CC7">
              <w:rPr>
                <w:b/>
                <w:bCs/>
              </w:rPr>
              <w:t>5. Garantías</w:t>
            </w:r>
          </w:p>
          <w:p w14:paraId="305FC962" w14:textId="77777777" w:rsidR="00832228" w:rsidRPr="00DA1136" w:rsidRDefault="00832228" w:rsidP="001A0074">
            <w:r w:rsidRPr="00DA1136">
              <w:t xml:space="preserve">Los contratos de coberturas no </w:t>
            </w:r>
            <w:r w:rsidR="00ED6418" w:rsidRPr="00DA1136">
              <w:t xml:space="preserve">necesariamente </w:t>
            </w:r>
            <w:r w:rsidRPr="00DA1136">
              <w:t>implican la creación de una línea de crédito.</w:t>
            </w:r>
          </w:p>
          <w:p w14:paraId="65BD7ACF" w14:textId="77777777" w:rsidR="00307215" w:rsidRPr="00DA1136" w:rsidRDefault="00307215" w:rsidP="00307215">
            <w:pPr>
              <w:rPr>
                <w:i/>
                <w:iCs/>
              </w:rPr>
            </w:pPr>
            <w:r w:rsidRPr="00DA1136">
              <w:t>No queda claro a qué se refiere el comentario respecto de la exp</w:t>
            </w:r>
            <w:r w:rsidR="00AD1C5B" w:rsidRPr="00DA1136">
              <w:t>osición a</w:t>
            </w:r>
            <w:r w:rsidRPr="00DA1136">
              <w:t xml:space="preserve"> los fondos administrados </w:t>
            </w:r>
            <w:r w:rsidR="00AD1C5B" w:rsidRPr="00DA1136">
              <w:rPr>
                <w:i/>
                <w:iCs/>
              </w:rPr>
              <w:t>“</w:t>
            </w:r>
            <w:r w:rsidRPr="00DA1136">
              <w:rPr>
                <w:i/>
                <w:iCs/>
              </w:rPr>
              <w:t xml:space="preserve">a procesos </w:t>
            </w:r>
          </w:p>
          <w:p w14:paraId="311D389B" w14:textId="77777777" w:rsidR="00307215" w:rsidRPr="00DA1136" w:rsidRDefault="00307215" w:rsidP="00307215">
            <w:pPr>
              <w:rPr>
                <w:i/>
                <w:iCs/>
              </w:rPr>
            </w:pPr>
            <w:r w:rsidRPr="00DA1136">
              <w:rPr>
                <w:i/>
                <w:iCs/>
              </w:rPr>
              <w:t>tributarios adversos para los afiliados</w:t>
            </w:r>
            <w:r w:rsidR="00AD1C5B" w:rsidRPr="00DA1136">
              <w:rPr>
                <w:i/>
                <w:iCs/>
              </w:rPr>
              <w:t>”</w:t>
            </w:r>
            <w:r w:rsidRPr="00DA1136">
              <w:rPr>
                <w:i/>
                <w:iCs/>
              </w:rPr>
              <w:t>.</w:t>
            </w:r>
          </w:p>
          <w:p w14:paraId="4911713E" w14:textId="77777777" w:rsidR="00307215" w:rsidRPr="00DA1136" w:rsidRDefault="00307215" w:rsidP="001A0074"/>
          <w:p w14:paraId="3D3236AF" w14:textId="77777777" w:rsidR="00003BE7" w:rsidRPr="00DA1136" w:rsidRDefault="00003BE7" w:rsidP="001A0074"/>
          <w:p w14:paraId="4A68A546" w14:textId="77777777" w:rsidR="007A130C" w:rsidRPr="00DA1136" w:rsidRDefault="007A130C" w:rsidP="00C15397"/>
          <w:p w14:paraId="2B995622" w14:textId="77777777" w:rsidR="007A130C" w:rsidRPr="00DA1136" w:rsidRDefault="007A130C" w:rsidP="00C15397"/>
          <w:p w14:paraId="348A18D0" w14:textId="77777777" w:rsidR="007A130C" w:rsidRPr="00DA1136" w:rsidRDefault="007A130C" w:rsidP="00C15397"/>
          <w:p w14:paraId="30E6C1D3" w14:textId="77777777" w:rsidR="007A130C" w:rsidRPr="00DA1136" w:rsidRDefault="007A130C" w:rsidP="00C15397"/>
          <w:p w14:paraId="1FA68276" w14:textId="77777777" w:rsidR="007A130C" w:rsidRPr="00DA1136" w:rsidRDefault="007A130C" w:rsidP="00C15397"/>
          <w:p w14:paraId="51E7B54B" w14:textId="77777777" w:rsidR="007A130C" w:rsidRPr="00DA1136" w:rsidRDefault="007A130C" w:rsidP="00C15397"/>
          <w:p w14:paraId="4122E293" w14:textId="77777777" w:rsidR="007A130C" w:rsidRPr="00DA1136" w:rsidRDefault="007A130C" w:rsidP="00C15397"/>
          <w:p w14:paraId="725B038E" w14:textId="77777777" w:rsidR="007A130C" w:rsidRPr="00DA1136" w:rsidRDefault="007A130C" w:rsidP="00C15397"/>
          <w:p w14:paraId="28A45CD8" w14:textId="77777777" w:rsidR="00DD3F18" w:rsidRPr="00DA1136" w:rsidRDefault="00DD3F18" w:rsidP="00C15397"/>
          <w:p w14:paraId="448A807E" w14:textId="77777777" w:rsidR="00C15397" w:rsidRPr="00FA7CC7" w:rsidRDefault="00DD3F18" w:rsidP="00DD3F18">
            <w:pPr>
              <w:rPr>
                <w:b/>
                <w:bCs/>
              </w:rPr>
            </w:pPr>
            <w:r w:rsidRPr="00FA7CC7">
              <w:rPr>
                <w:b/>
                <w:bCs/>
              </w:rPr>
              <w:t>6. Implementación forzosa.</w:t>
            </w:r>
          </w:p>
          <w:p w14:paraId="10703A31" w14:textId="77777777" w:rsidR="00C15397" w:rsidRPr="00DA1136" w:rsidRDefault="00E857EB" w:rsidP="001A0074">
            <w:r w:rsidRPr="00DA1136">
              <w:t xml:space="preserve">Se está planteando un plazo de </w:t>
            </w:r>
            <w:r w:rsidR="00172722">
              <w:t>18 meses</w:t>
            </w:r>
            <w:r w:rsidRPr="00DA1136">
              <w:t>.</w:t>
            </w:r>
          </w:p>
          <w:p w14:paraId="3C752A2A" w14:textId="77777777" w:rsidR="00A93C50" w:rsidRPr="00DA1136" w:rsidRDefault="00A93C50" w:rsidP="001A0074"/>
          <w:p w14:paraId="75DF6838" w14:textId="77777777" w:rsidR="00A93C50" w:rsidRPr="00DA1136" w:rsidRDefault="00A93C50" w:rsidP="001A0074"/>
          <w:p w14:paraId="16AE19D1" w14:textId="77777777" w:rsidR="00A93C50" w:rsidRPr="00DA1136" w:rsidRDefault="00A93C50" w:rsidP="001A0074"/>
          <w:p w14:paraId="302128F0" w14:textId="77777777" w:rsidR="00A93C50" w:rsidRPr="00DA1136" w:rsidRDefault="00A93C50" w:rsidP="001A0074"/>
          <w:p w14:paraId="032C5A01" w14:textId="77777777" w:rsidR="00A93C50" w:rsidRPr="00DA1136" w:rsidRDefault="00A93C50" w:rsidP="001A0074"/>
          <w:p w14:paraId="57859188" w14:textId="77777777" w:rsidR="00A93C50" w:rsidRPr="00DA1136" w:rsidRDefault="00A93C50" w:rsidP="001A0074"/>
          <w:p w14:paraId="3A2CFEF4" w14:textId="77777777" w:rsidR="00A93C50" w:rsidRPr="00DA1136" w:rsidRDefault="00A93C50" w:rsidP="001A0074"/>
          <w:p w14:paraId="6B3D9A60" w14:textId="77777777" w:rsidR="00A93C50" w:rsidRPr="00DA1136" w:rsidRDefault="00A93C50" w:rsidP="001A0074"/>
          <w:p w14:paraId="35583682" w14:textId="77777777" w:rsidR="00A93C50" w:rsidRPr="00DA1136" w:rsidRDefault="00A93C50" w:rsidP="001A0074"/>
          <w:p w14:paraId="142FE6C8" w14:textId="77777777" w:rsidR="00A93C50" w:rsidRPr="00DA1136" w:rsidRDefault="00A93C50" w:rsidP="001A0074"/>
          <w:p w14:paraId="0CB53A0F" w14:textId="77777777" w:rsidR="00A93C50" w:rsidRPr="00DA1136" w:rsidRDefault="00A93C50" w:rsidP="001A0074"/>
          <w:p w14:paraId="1F811C28" w14:textId="77777777" w:rsidR="00A93C50" w:rsidRPr="00DA1136" w:rsidRDefault="00A93C50" w:rsidP="001A0074"/>
          <w:p w14:paraId="3721E1AE" w14:textId="77777777" w:rsidR="00A93C50" w:rsidRPr="00DA1136" w:rsidRDefault="00A93C50" w:rsidP="001A0074"/>
          <w:p w14:paraId="29DB9E10" w14:textId="77777777" w:rsidR="00A93C50" w:rsidRPr="00DA1136" w:rsidRDefault="00A93C50" w:rsidP="001A0074"/>
          <w:p w14:paraId="694B9B16" w14:textId="77777777" w:rsidR="00A93C50" w:rsidRPr="00DA1136" w:rsidRDefault="00A93C50" w:rsidP="001A0074"/>
          <w:p w14:paraId="14897B94" w14:textId="77777777" w:rsidR="00A93C50" w:rsidRPr="00DA1136" w:rsidRDefault="00A93C50" w:rsidP="001A0074"/>
          <w:p w14:paraId="79569569" w14:textId="77777777" w:rsidR="00A93C50" w:rsidRPr="00DA1136" w:rsidRDefault="00A93C50" w:rsidP="001A0074"/>
          <w:p w14:paraId="09AEC347" w14:textId="77777777" w:rsidR="00A93C50" w:rsidRPr="00DA1136" w:rsidRDefault="00A93C50" w:rsidP="001A0074"/>
          <w:p w14:paraId="10861E16" w14:textId="77777777" w:rsidR="00A93C50" w:rsidRPr="00DA1136" w:rsidRDefault="00A93C50" w:rsidP="001A0074"/>
          <w:p w14:paraId="043CFAAD" w14:textId="77777777" w:rsidR="00A93C50" w:rsidRPr="00DA1136" w:rsidRDefault="00A93C50" w:rsidP="001A0074"/>
          <w:p w14:paraId="326979AB" w14:textId="77777777" w:rsidR="00A93C50" w:rsidRPr="00DA1136" w:rsidRDefault="00A93C50" w:rsidP="001A0074"/>
          <w:p w14:paraId="136D5F27" w14:textId="77777777" w:rsidR="00A93C50" w:rsidRPr="00DA1136" w:rsidRDefault="00A93C50" w:rsidP="001A0074"/>
          <w:p w14:paraId="65E82053" w14:textId="77777777" w:rsidR="00A93C50" w:rsidRPr="00DA1136" w:rsidRDefault="00A93C50" w:rsidP="001A0074"/>
          <w:p w14:paraId="152D0318" w14:textId="77777777" w:rsidR="00A93C50" w:rsidRPr="00DA1136" w:rsidRDefault="00A93C50" w:rsidP="001A0074"/>
          <w:p w14:paraId="7ADC7B9E" w14:textId="77777777" w:rsidR="00A93C50" w:rsidRPr="00DA1136" w:rsidRDefault="00A93C50" w:rsidP="001A0074"/>
          <w:p w14:paraId="777F5CAC" w14:textId="77777777" w:rsidR="00A93C50" w:rsidRPr="00DA1136" w:rsidRDefault="00A93C50" w:rsidP="001A0074"/>
          <w:p w14:paraId="6C13317C" w14:textId="77777777" w:rsidR="008B486E" w:rsidRPr="00DA1136" w:rsidRDefault="008B486E" w:rsidP="00A93C50"/>
          <w:p w14:paraId="375E5DC1" w14:textId="77777777" w:rsidR="008B486E" w:rsidRPr="00DA1136" w:rsidRDefault="008B486E" w:rsidP="00A93C50"/>
          <w:p w14:paraId="3A3F8AC2" w14:textId="77777777" w:rsidR="008B486E" w:rsidRPr="00DA1136" w:rsidRDefault="008B486E" w:rsidP="00A93C50"/>
          <w:p w14:paraId="32BAFF8E" w14:textId="77777777" w:rsidR="008B486E" w:rsidRPr="00DA1136" w:rsidRDefault="008B486E" w:rsidP="00A93C50"/>
          <w:p w14:paraId="4AEAC493" w14:textId="77777777" w:rsidR="008B486E" w:rsidRPr="00DA1136" w:rsidRDefault="008B486E" w:rsidP="00A93C50"/>
          <w:p w14:paraId="2B841B03" w14:textId="77777777" w:rsidR="008B486E" w:rsidRPr="00DA1136" w:rsidRDefault="008B486E" w:rsidP="00A93C50"/>
          <w:p w14:paraId="060D133E" w14:textId="77777777" w:rsidR="008B486E" w:rsidRPr="00DA1136" w:rsidRDefault="008B486E" w:rsidP="00A93C50"/>
          <w:p w14:paraId="3EA7DA23" w14:textId="77777777" w:rsidR="008B486E" w:rsidRPr="00DA1136" w:rsidRDefault="008B486E" w:rsidP="00A93C50"/>
          <w:p w14:paraId="4868356D" w14:textId="77777777" w:rsidR="00E857EB" w:rsidRPr="00DA1136" w:rsidRDefault="00E857EB" w:rsidP="00A93C50"/>
          <w:p w14:paraId="60D65FBA" w14:textId="77777777" w:rsidR="00E857EB" w:rsidRPr="00DA1136" w:rsidRDefault="00E857EB" w:rsidP="00A93C50"/>
          <w:p w14:paraId="1B234734" w14:textId="77777777" w:rsidR="008B486E" w:rsidRPr="00DA1136" w:rsidRDefault="008B486E" w:rsidP="00A93C50"/>
          <w:p w14:paraId="336F4732" w14:textId="77777777" w:rsidR="005B1F60" w:rsidRPr="00DA1136" w:rsidRDefault="005B1F60" w:rsidP="00A93C50"/>
          <w:p w14:paraId="4F0B1092" w14:textId="77777777" w:rsidR="00B70A81" w:rsidRPr="00DA1136" w:rsidRDefault="00B70A81" w:rsidP="00A93C50"/>
          <w:p w14:paraId="76878ED9" w14:textId="77777777" w:rsidR="00A93C50" w:rsidRPr="00FA7CC7" w:rsidRDefault="008B486E" w:rsidP="00A93C50">
            <w:pPr>
              <w:rPr>
                <w:b/>
                <w:bCs/>
              </w:rPr>
            </w:pPr>
            <w:r w:rsidRPr="00FA7CC7">
              <w:rPr>
                <w:b/>
                <w:bCs/>
              </w:rPr>
              <w:t>V</w:t>
            </w:r>
            <w:r w:rsidR="00A93C50" w:rsidRPr="00FA7CC7">
              <w:rPr>
                <w:b/>
                <w:bCs/>
              </w:rPr>
              <w:t>ida Plena, OPC/SUPEN</w:t>
            </w:r>
          </w:p>
          <w:p w14:paraId="4980048E" w14:textId="77777777" w:rsidR="00366BF4" w:rsidRPr="00DA1136" w:rsidRDefault="00366BF4" w:rsidP="00366BF4">
            <w:r w:rsidRPr="00DA1136">
              <w:t>Se elimina la cobertura sobre los flujos para el pago de pensiones, traslados y retiros.</w:t>
            </w:r>
          </w:p>
          <w:p w14:paraId="4F3BA0D0" w14:textId="77777777" w:rsidR="00C110DA" w:rsidRPr="00DA1136" w:rsidRDefault="000161E3" w:rsidP="00C110DA">
            <w:r w:rsidRPr="00DA1136">
              <w:t>En rel</w:t>
            </w:r>
            <w:r w:rsidR="004214D7" w:rsidRPr="00DA1136">
              <w:t>a</w:t>
            </w:r>
            <w:r w:rsidRPr="00DA1136">
              <w:t xml:space="preserve">ción con la inexistencia de </w:t>
            </w:r>
            <w:r w:rsidR="004214D7" w:rsidRPr="00DA1136">
              <w:t xml:space="preserve">oferta, véase el comentario </w:t>
            </w:r>
            <w:r w:rsidR="00C110DA" w:rsidRPr="00FA7CC7">
              <w:rPr>
                <w:b/>
                <w:bCs/>
              </w:rPr>
              <w:t>Fondo ICE/SUPEN s</w:t>
            </w:r>
            <w:r w:rsidR="00C110DA" w:rsidRPr="00DA1136">
              <w:t>obre el particular.</w:t>
            </w:r>
          </w:p>
          <w:p w14:paraId="3D95349D" w14:textId="77777777" w:rsidR="00A93C50" w:rsidRPr="00DA1136" w:rsidRDefault="00A93C50" w:rsidP="00A93C50"/>
          <w:p w14:paraId="201037D7" w14:textId="77777777" w:rsidR="003F387B" w:rsidRPr="00DA1136" w:rsidRDefault="003F387B" w:rsidP="00A93C50"/>
          <w:p w14:paraId="293AED8D" w14:textId="77777777" w:rsidR="003F387B" w:rsidRPr="00DA1136" w:rsidRDefault="003F387B" w:rsidP="00A93C50"/>
          <w:p w14:paraId="54B807C6" w14:textId="77777777" w:rsidR="003F387B" w:rsidRPr="00DA1136" w:rsidRDefault="003F387B" w:rsidP="00A93C50"/>
          <w:p w14:paraId="330F10B2" w14:textId="77777777" w:rsidR="003F387B" w:rsidRPr="00DA1136" w:rsidRDefault="003F387B" w:rsidP="00A93C50"/>
          <w:p w14:paraId="6400475E" w14:textId="77777777" w:rsidR="003F387B" w:rsidRPr="00DA1136" w:rsidRDefault="003F387B" w:rsidP="00A93C50"/>
          <w:p w14:paraId="79BEBEA8" w14:textId="77777777" w:rsidR="003F387B" w:rsidRPr="00DA1136" w:rsidRDefault="003F387B" w:rsidP="00A93C50"/>
          <w:p w14:paraId="25A5273F" w14:textId="77777777" w:rsidR="003F387B" w:rsidRPr="00DA1136" w:rsidRDefault="003F387B" w:rsidP="00A93C50"/>
          <w:p w14:paraId="4BDF6B3C" w14:textId="77777777" w:rsidR="003F387B" w:rsidRPr="00DA1136" w:rsidRDefault="003F387B" w:rsidP="00A93C50"/>
          <w:p w14:paraId="5521C459" w14:textId="77777777" w:rsidR="003F387B" w:rsidRPr="00DA1136" w:rsidRDefault="003F387B" w:rsidP="00A93C50"/>
          <w:p w14:paraId="0B766539" w14:textId="77777777" w:rsidR="003F387B" w:rsidRPr="00DA1136" w:rsidRDefault="003F387B" w:rsidP="00A93C50"/>
          <w:p w14:paraId="5815FBD8" w14:textId="77777777" w:rsidR="003F387B" w:rsidRPr="00DA1136" w:rsidRDefault="003F387B" w:rsidP="00A93C50"/>
          <w:p w14:paraId="5E6B79E3" w14:textId="77777777" w:rsidR="003F387B" w:rsidRPr="00DA1136" w:rsidRDefault="003F387B" w:rsidP="00A93C50"/>
          <w:p w14:paraId="5C2FF34C" w14:textId="77777777" w:rsidR="003F387B" w:rsidRPr="00DA1136" w:rsidRDefault="003F387B" w:rsidP="00A93C50"/>
          <w:p w14:paraId="369591C9" w14:textId="77777777" w:rsidR="003F387B" w:rsidRPr="00DA1136" w:rsidRDefault="003F387B" w:rsidP="00A93C50"/>
          <w:p w14:paraId="2306AA6E" w14:textId="77777777" w:rsidR="003F387B" w:rsidRPr="00DA1136" w:rsidRDefault="003F387B" w:rsidP="00A93C50"/>
          <w:p w14:paraId="51C512B4" w14:textId="77777777" w:rsidR="003F387B" w:rsidRPr="00DA1136" w:rsidRDefault="003F387B" w:rsidP="00A93C50"/>
          <w:p w14:paraId="106B6DF1" w14:textId="77777777" w:rsidR="003F387B" w:rsidRPr="00DA1136" w:rsidRDefault="003F387B" w:rsidP="00A93C50"/>
          <w:p w14:paraId="04657545" w14:textId="77777777" w:rsidR="003F387B" w:rsidRPr="00DA1136" w:rsidRDefault="003F387B" w:rsidP="00A93C50"/>
          <w:p w14:paraId="43508CD1" w14:textId="77777777" w:rsidR="003F387B" w:rsidRPr="00DA1136" w:rsidRDefault="003F387B" w:rsidP="00A93C50"/>
          <w:p w14:paraId="043702F9" w14:textId="77777777" w:rsidR="003F387B" w:rsidRPr="00DA1136" w:rsidRDefault="003F387B" w:rsidP="00A93C50"/>
          <w:p w14:paraId="4D79C427" w14:textId="77777777" w:rsidR="003F387B" w:rsidRPr="00DA1136" w:rsidRDefault="003F387B" w:rsidP="00A93C50"/>
          <w:p w14:paraId="5366E0C3" w14:textId="77777777" w:rsidR="003F387B" w:rsidRPr="00DA1136" w:rsidRDefault="003F387B" w:rsidP="00A93C50"/>
          <w:p w14:paraId="2CC97574" w14:textId="77777777" w:rsidR="003F387B" w:rsidRPr="00DA1136" w:rsidRDefault="003F387B" w:rsidP="00A93C50"/>
          <w:p w14:paraId="47ABAA19" w14:textId="77777777" w:rsidR="003F387B" w:rsidRPr="00DA1136" w:rsidRDefault="003F387B" w:rsidP="00A93C50"/>
          <w:p w14:paraId="1FA95B73" w14:textId="77777777" w:rsidR="003F387B" w:rsidRPr="00DA1136" w:rsidRDefault="003F387B" w:rsidP="00A93C50"/>
          <w:p w14:paraId="3F260080" w14:textId="77777777" w:rsidR="003F387B" w:rsidRPr="00DA1136" w:rsidRDefault="003F387B" w:rsidP="00A93C50"/>
          <w:p w14:paraId="2FEE1168" w14:textId="77777777" w:rsidR="003F387B" w:rsidRPr="00DA1136" w:rsidRDefault="003F387B" w:rsidP="00A93C50"/>
          <w:p w14:paraId="5B1E93A1" w14:textId="77777777" w:rsidR="003F387B" w:rsidRPr="00DA1136" w:rsidRDefault="003F387B" w:rsidP="00A93C50"/>
          <w:p w14:paraId="3F1260F4" w14:textId="77777777" w:rsidR="003F387B" w:rsidRPr="00DA1136" w:rsidRDefault="003F387B" w:rsidP="00A93C50"/>
          <w:p w14:paraId="3F1E45D6" w14:textId="77777777" w:rsidR="003F387B" w:rsidRPr="00DA1136" w:rsidRDefault="003F387B" w:rsidP="00A93C50"/>
          <w:p w14:paraId="0769EA61" w14:textId="77777777" w:rsidR="003F387B" w:rsidRPr="00DA1136" w:rsidRDefault="003F387B" w:rsidP="00A93C50"/>
          <w:p w14:paraId="0551313B" w14:textId="77777777" w:rsidR="003F387B" w:rsidRPr="00DA1136" w:rsidRDefault="003F387B" w:rsidP="00A93C50"/>
          <w:p w14:paraId="16DA5B6F" w14:textId="77777777" w:rsidR="003F387B" w:rsidRPr="00DA1136" w:rsidRDefault="003F387B" w:rsidP="00A93C50"/>
          <w:p w14:paraId="51F2713D" w14:textId="77777777" w:rsidR="003F387B" w:rsidRPr="00DA1136" w:rsidRDefault="003F387B" w:rsidP="00A93C50"/>
          <w:p w14:paraId="5CEF08AD" w14:textId="77777777" w:rsidR="003F387B" w:rsidRPr="00DA1136" w:rsidRDefault="003F387B" w:rsidP="00A93C50"/>
          <w:p w14:paraId="592CB4AE" w14:textId="77777777" w:rsidR="003F387B" w:rsidRPr="00DA1136" w:rsidRDefault="003F387B" w:rsidP="00A93C50"/>
          <w:p w14:paraId="231C5D44" w14:textId="77777777" w:rsidR="003F387B" w:rsidRPr="00DA1136" w:rsidRDefault="003F387B" w:rsidP="00A93C50"/>
          <w:p w14:paraId="1232BC51" w14:textId="77777777" w:rsidR="003F387B" w:rsidRPr="00DA1136" w:rsidRDefault="003F387B" w:rsidP="00A93C50"/>
          <w:p w14:paraId="3F6F3542" w14:textId="77777777" w:rsidR="003F387B" w:rsidRPr="00DA1136" w:rsidRDefault="003F387B" w:rsidP="00A93C50"/>
          <w:p w14:paraId="285B09E8" w14:textId="77777777" w:rsidR="003F387B" w:rsidRPr="00DA1136" w:rsidRDefault="003F387B" w:rsidP="00A93C50"/>
          <w:p w14:paraId="4797D675" w14:textId="77777777" w:rsidR="003F387B" w:rsidRPr="00DA1136" w:rsidRDefault="003F387B" w:rsidP="00A93C50"/>
          <w:p w14:paraId="270B23CB" w14:textId="77777777" w:rsidR="003F387B" w:rsidRPr="00DA1136" w:rsidRDefault="003F387B" w:rsidP="00A93C50"/>
          <w:p w14:paraId="7168DBB0" w14:textId="77777777" w:rsidR="003F387B" w:rsidRPr="00DA1136" w:rsidRDefault="003F387B" w:rsidP="00A93C50"/>
          <w:p w14:paraId="5EC0F0F0" w14:textId="77777777" w:rsidR="003F387B" w:rsidRPr="00DA1136" w:rsidRDefault="003F387B" w:rsidP="00A93C50"/>
          <w:p w14:paraId="2AE806B9" w14:textId="77777777" w:rsidR="003F387B" w:rsidRPr="00DA1136" w:rsidRDefault="003F387B" w:rsidP="00A93C50"/>
          <w:p w14:paraId="2256B163" w14:textId="77777777" w:rsidR="003F387B" w:rsidRPr="00DA1136" w:rsidRDefault="003F387B" w:rsidP="00A93C50"/>
          <w:p w14:paraId="72DFF60F" w14:textId="77777777" w:rsidR="003F387B" w:rsidRPr="00DA1136" w:rsidRDefault="003F387B" w:rsidP="00A93C50"/>
          <w:p w14:paraId="14EF8826" w14:textId="77777777" w:rsidR="003F387B" w:rsidRPr="00DA1136" w:rsidRDefault="003F387B" w:rsidP="00A93C50"/>
          <w:p w14:paraId="4446E675" w14:textId="77777777" w:rsidR="003F387B" w:rsidRPr="00DA1136" w:rsidRDefault="003F387B" w:rsidP="00A93C50"/>
          <w:p w14:paraId="6F03E95F" w14:textId="77777777" w:rsidR="003F387B" w:rsidRPr="00DA1136" w:rsidRDefault="003F387B" w:rsidP="00A93C50"/>
          <w:p w14:paraId="041CDDAC" w14:textId="77777777" w:rsidR="003F387B" w:rsidRPr="00DA1136" w:rsidRDefault="003F387B" w:rsidP="00A93C50"/>
          <w:p w14:paraId="6270C236" w14:textId="77777777" w:rsidR="003F387B" w:rsidRPr="00DA1136" w:rsidRDefault="003F387B" w:rsidP="00A93C50"/>
          <w:p w14:paraId="1AD76A56" w14:textId="77777777" w:rsidR="003F387B" w:rsidRPr="00DA1136" w:rsidRDefault="003F387B" w:rsidP="00A93C50"/>
          <w:p w14:paraId="55171B1D" w14:textId="77777777" w:rsidR="003F387B" w:rsidRPr="00DA1136" w:rsidRDefault="003F387B" w:rsidP="00A93C50"/>
          <w:p w14:paraId="72781860" w14:textId="77777777" w:rsidR="003F387B" w:rsidRPr="00DA1136" w:rsidRDefault="003F387B" w:rsidP="00A93C50"/>
          <w:p w14:paraId="044C09D9" w14:textId="77777777" w:rsidR="003F387B" w:rsidRPr="00DA1136" w:rsidRDefault="003F387B" w:rsidP="00A93C50"/>
          <w:p w14:paraId="74227DC1" w14:textId="77777777" w:rsidR="003F387B" w:rsidRPr="00DA1136" w:rsidRDefault="003F387B" w:rsidP="00A93C50"/>
          <w:p w14:paraId="6A3F5098" w14:textId="77777777" w:rsidR="003F387B" w:rsidRPr="00DA1136" w:rsidRDefault="003F387B" w:rsidP="00A93C50"/>
          <w:p w14:paraId="1A03BE3F" w14:textId="77777777" w:rsidR="003F387B" w:rsidRPr="00DA1136" w:rsidRDefault="003F387B" w:rsidP="00A93C50"/>
          <w:p w14:paraId="1CA6475D" w14:textId="77777777" w:rsidR="003F387B" w:rsidRPr="00DA1136" w:rsidRDefault="003F387B" w:rsidP="00A93C50"/>
          <w:p w14:paraId="320C7169" w14:textId="77777777" w:rsidR="003F387B" w:rsidRPr="00DA1136" w:rsidRDefault="003F387B" w:rsidP="00A93C50"/>
          <w:p w14:paraId="22678C95" w14:textId="77777777" w:rsidR="003F387B" w:rsidRPr="00DA1136" w:rsidRDefault="003F387B" w:rsidP="00A93C50"/>
          <w:p w14:paraId="7988F5E2" w14:textId="77777777" w:rsidR="003F387B" w:rsidRPr="00DA1136" w:rsidRDefault="003F387B" w:rsidP="00A93C50"/>
          <w:p w14:paraId="164DE36E" w14:textId="77777777" w:rsidR="003F387B" w:rsidRPr="00DA1136" w:rsidRDefault="003F387B" w:rsidP="00A93C50"/>
          <w:p w14:paraId="451A9E0B" w14:textId="77777777" w:rsidR="003F387B" w:rsidRPr="00DA1136" w:rsidRDefault="003F387B" w:rsidP="00A93C50"/>
          <w:p w14:paraId="292DF6D8" w14:textId="77777777" w:rsidR="003F387B" w:rsidRPr="00DA1136" w:rsidRDefault="003F387B" w:rsidP="00A93C50"/>
          <w:p w14:paraId="6363970E" w14:textId="77777777" w:rsidR="003F387B" w:rsidRPr="00DA1136" w:rsidRDefault="003F387B" w:rsidP="00A93C50"/>
          <w:p w14:paraId="7EA6E513" w14:textId="77777777" w:rsidR="003F387B" w:rsidRPr="00DA1136" w:rsidRDefault="003F387B" w:rsidP="00A93C50"/>
          <w:p w14:paraId="63AF06CE" w14:textId="77777777" w:rsidR="003F387B" w:rsidRPr="00DA1136" w:rsidRDefault="003F387B" w:rsidP="00A93C50"/>
          <w:p w14:paraId="4CA5053F" w14:textId="77777777" w:rsidR="003F387B" w:rsidRPr="00DA1136" w:rsidRDefault="003F387B" w:rsidP="00A93C50"/>
          <w:p w14:paraId="71C717C0" w14:textId="77777777" w:rsidR="003F387B" w:rsidRPr="00DA1136" w:rsidRDefault="003F387B" w:rsidP="00A93C50"/>
          <w:p w14:paraId="7DE72718" w14:textId="77777777" w:rsidR="003F387B" w:rsidRPr="00DA1136" w:rsidRDefault="003F387B" w:rsidP="00A93C50"/>
          <w:p w14:paraId="27D3B7C9" w14:textId="77777777" w:rsidR="003F387B" w:rsidRPr="00DA1136" w:rsidRDefault="003F387B" w:rsidP="00A93C50"/>
          <w:p w14:paraId="003E5B70" w14:textId="77777777" w:rsidR="003F387B" w:rsidRPr="00DA1136" w:rsidRDefault="003F387B" w:rsidP="00A93C50"/>
          <w:p w14:paraId="73467AC0" w14:textId="77777777" w:rsidR="003F387B" w:rsidRPr="00DA1136" w:rsidRDefault="003F387B" w:rsidP="00A93C50"/>
          <w:p w14:paraId="71E01840" w14:textId="77777777" w:rsidR="003F387B" w:rsidRPr="00DA1136" w:rsidRDefault="003F387B" w:rsidP="00A93C50"/>
          <w:p w14:paraId="3D0F4B42" w14:textId="77777777" w:rsidR="003F387B" w:rsidRPr="00DA1136" w:rsidRDefault="003F387B" w:rsidP="00A93C50"/>
          <w:p w14:paraId="0EC6EE22" w14:textId="77777777" w:rsidR="003F387B" w:rsidRPr="00DA1136" w:rsidRDefault="003F387B" w:rsidP="00A93C50"/>
          <w:p w14:paraId="00AA48F3" w14:textId="77777777" w:rsidR="003F387B" w:rsidRPr="00DA1136" w:rsidRDefault="003F387B" w:rsidP="00A93C50"/>
          <w:p w14:paraId="1FBD4767" w14:textId="77777777" w:rsidR="003F387B" w:rsidRPr="00DA1136" w:rsidRDefault="003F387B" w:rsidP="00A93C50"/>
          <w:p w14:paraId="3B690BF1" w14:textId="77777777" w:rsidR="005B1F60" w:rsidRPr="00DA1136" w:rsidRDefault="005B1F60" w:rsidP="00A93C50"/>
          <w:p w14:paraId="47FBF381" w14:textId="77777777" w:rsidR="006B6CA8" w:rsidRPr="00DA1136" w:rsidRDefault="006B6CA8" w:rsidP="008451B1"/>
          <w:p w14:paraId="27B98105" w14:textId="77777777" w:rsidR="008451B1" w:rsidRPr="00FA7CC7" w:rsidRDefault="008451B1" w:rsidP="008451B1">
            <w:pPr>
              <w:rPr>
                <w:b/>
                <w:bCs/>
              </w:rPr>
            </w:pPr>
            <w:r w:rsidRPr="00FA7CC7">
              <w:rPr>
                <w:b/>
                <w:bCs/>
              </w:rPr>
              <w:t>ACOP/SUPEN</w:t>
            </w:r>
          </w:p>
          <w:p w14:paraId="1297588A" w14:textId="77777777" w:rsidR="008451B1" w:rsidRPr="00DA1136" w:rsidRDefault="008451B1" w:rsidP="008451B1">
            <w:r w:rsidRPr="00DA1136">
              <w:t xml:space="preserve">La diversificación de las inversiones, fundamental en una adecuada gestión de un </w:t>
            </w:r>
            <w:r w:rsidR="00551DF5" w:rsidRPr="00DA1136">
              <w:t>fondo de pensi</w:t>
            </w:r>
            <w:r w:rsidR="0057635B" w:rsidRPr="00DA1136">
              <w:t>ones</w:t>
            </w:r>
            <w:r w:rsidR="00551DF5" w:rsidRPr="00DA1136">
              <w:t xml:space="preserve">, no es incompatible sino complementaria con </w:t>
            </w:r>
            <w:r w:rsidR="00224E05" w:rsidRPr="00DA1136">
              <w:t xml:space="preserve">una adecuada </w:t>
            </w:r>
            <w:r w:rsidR="0057635B" w:rsidRPr="00DA1136">
              <w:t>gestión de los riesgos a través del uso de derivados de coberturas.</w:t>
            </w:r>
          </w:p>
          <w:p w14:paraId="532C50B1" w14:textId="77777777" w:rsidR="001A580C" w:rsidRPr="00DA1136" w:rsidRDefault="001A580C" w:rsidP="001A580C">
            <w:r w:rsidRPr="00DA1136">
              <w:t xml:space="preserve">Se elimina la cobertura sobre los flujos para el pago de </w:t>
            </w:r>
            <w:r w:rsidRPr="00DA1136">
              <w:lastRenderedPageBreak/>
              <w:t>pensiones, traslados y retiros.</w:t>
            </w:r>
          </w:p>
          <w:p w14:paraId="662076BB" w14:textId="77777777" w:rsidR="001A580C" w:rsidRPr="00DA1136" w:rsidRDefault="001A580C" w:rsidP="008451B1"/>
          <w:p w14:paraId="0677DB60" w14:textId="77777777" w:rsidR="003F387B" w:rsidRPr="00DA1136" w:rsidRDefault="003F387B" w:rsidP="00A93C50"/>
          <w:p w14:paraId="3F279385" w14:textId="77777777" w:rsidR="00C46F88" w:rsidRPr="00DA1136" w:rsidRDefault="00C46F88" w:rsidP="00A93C50"/>
          <w:p w14:paraId="6C531E25" w14:textId="77777777" w:rsidR="00C46F88" w:rsidRPr="00DA1136" w:rsidRDefault="00C46F88" w:rsidP="00A93C50"/>
          <w:p w14:paraId="4BB8608F" w14:textId="77777777" w:rsidR="00C46F88" w:rsidRPr="00DA1136" w:rsidRDefault="00C46F88" w:rsidP="00A93C50"/>
          <w:p w14:paraId="7B5D362C" w14:textId="77777777" w:rsidR="00C46F88" w:rsidRPr="00DA1136" w:rsidRDefault="00C46F88" w:rsidP="00A93C50"/>
          <w:p w14:paraId="41F42939" w14:textId="77777777" w:rsidR="00C46F88" w:rsidRPr="00DA1136" w:rsidRDefault="00C46F88" w:rsidP="00A93C50"/>
          <w:p w14:paraId="4EDE57A2" w14:textId="77777777" w:rsidR="00C46F88" w:rsidRPr="00DA1136" w:rsidRDefault="00C46F88" w:rsidP="00A93C50"/>
          <w:p w14:paraId="42D4B938" w14:textId="77777777" w:rsidR="00C46F88" w:rsidRPr="00DA1136" w:rsidRDefault="00C46F88" w:rsidP="00A93C50"/>
          <w:p w14:paraId="75D26B3D" w14:textId="77777777" w:rsidR="00C46F88" w:rsidRPr="00DA1136" w:rsidRDefault="00C46F88" w:rsidP="00A93C50"/>
          <w:p w14:paraId="2468F175" w14:textId="77777777" w:rsidR="00C46F88" w:rsidRPr="00DA1136" w:rsidRDefault="00C46F88" w:rsidP="00A93C50"/>
          <w:p w14:paraId="6903D75D" w14:textId="77777777" w:rsidR="00C46F88" w:rsidRPr="00DA1136" w:rsidRDefault="00C46F88" w:rsidP="00A93C50"/>
          <w:p w14:paraId="5369FE06" w14:textId="77777777" w:rsidR="00C46F88" w:rsidRPr="00DA1136" w:rsidRDefault="00C46F88" w:rsidP="00A93C50"/>
          <w:p w14:paraId="244313F5" w14:textId="77777777" w:rsidR="00C46F88" w:rsidRPr="00DA1136" w:rsidRDefault="00C46F88" w:rsidP="00A93C50"/>
          <w:p w14:paraId="3C61676F" w14:textId="77777777" w:rsidR="00C46F88" w:rsidRPr="00DA1136" w:rsidRDefault="00C46F88" w:rsidP="00A93C50"/>
          <w:p w14:paraId="7FC9E776" w14:textId="77777777" w:rsidR="00C46F88" w:rsidRPr="00DA1136" w:rsidRDefault="00C46F88" w:rsidP="00A93C50"/>
          <w:p w14:paraId="7FC18769" w14:textId="77777777" w:rsidR="00C46F88" w:rsidRPr="00DA1136" w:rsidRDefault="00C46F88" w:rsidP="00A93C50"/>
          <w:p w14:paraId="3E74B690" w14:textId="77777777" w:rsidR="00C46F88" w:rsidRPr="00DA1136" w:rsidRDefault="00C46F88" w:rsidP="00A93C50"/>
          <w:p w14:paraId="1E8C900D" w14:textId="77777777" w:rsidR="00C46F88" w:rsidRPr="00DA1136" w:rsidRDefault="00C46F88" w:rsidP="00A93C50"/>
          <w:p w14:paraId="117EFF1E" w14:textId="77777777" w:rsidR="00C46F88" w:rsidRPr="00DA1136" w:rsidRDefault="00C46F88" w:rsidP="00A93C50"/>
          <w:p w14:paraId="500DE4CF" w14:textId="77777777" w:rsidR="00C46F88" w:rsidRPr="00DA1136" w:rsidRDefault="00C46F88" w:rsidP="00A93C50"/>
          <w:p w14:paraId="400FBAE8" w14:textId="77777777" w:rsidR="00C46F88" w:rsidRPr="00DA1136" w:rsidRDefault="00C46F88" w:rsidP="00A93C50"/>
          <w:p w14:paraId="36822ABA" w14:textId="77777777" w:rsidR="00C46F88" w:rsidRPr="00DA1136" w:rsidRDefault="00C46F88" w:rsidP="00A93C50"/>
          <w:p w14:paraId="3AADF03F" w14:textId="77777777" w:rsidR="00C46F88" w:rsidRPr="00DA1136" w:rsidRDefault="00C46F88" w:rsidP="00A93C50"/>
          <w:p w14:paraId="3DE67016" w14:textId="77777777" w:rsidR="00C46F88" w:rsidRPr="00DA1136" w:rsidRDefault="00C46F88" w:rsidP="00A93C50"/>
          <w:p w14:paraId="4C66D59B" w14:textId="77777777" w:rsidR="00C46F88" w:rsidRPr="00DA1136" w:rsidRDefault="00C46F88" w:rsidP="00A93C50"/>
          <w:p w14:paraId="201D7E71" w14:textId="77777777" w:rsidR="00C46F88" w:rsidRPr="00DA1136" w:rsidRDefault="00C46F88" w:rsidP="00A93C50"/>
          <w:p w14:paraId="26887471" w14:textId="77777777" w:rsidR="00C46F88" w:rsidRPr="00DA1136" w:rsidRDefault="00C46F88" w:rsidP="00A93C50"/>
          <w:p w14:paraId="5BE7E027" w14:textId="77777777" w:rsidR="00C46F88" w:rsidRPr="00DA1136" w:rsidRDefault="00C46F88" w:rsidP="00A93C50"/>
          <w:p w14:paraId="698F0E7C" w14:textId="77777777" w:rsidR="00C46F88" w:rsidRPr="00DA1136" w:rsidRDefault="00C46F88" w:rsidP="00A93C50"/>
          <w:p w14:paraId="302B8E7A" w14:textId="77777777" w:rsidR="00C46F88" w:rsidRPr="00DA1136" w:rsidRDefault="00C46F88" w:rsidP="00A93C50"/>
          <w:p w14:paraId="1205B996" w14:textId="77777777" w:rsidR="00C46F88" w:rsidRPr="00DA1136" w:rsidRDefault="00C46F88" w:rsidP="00A93C50"/>
          <w:p w14:paraId="00AD6C1D" w14:textId="77777777" w:rsidR="00C46F88" w:rsidRPr="00DA1136" w:rsidRDefault="00C46F88" w:rsidP="00A93C50"/>
          <w:p w14:paraId="181945FE" w14:textId="77777777" w:rsidR="00C46F88" w:rsidRPr="00DA1136" w:rsidRDefault="00C46F88" w:rsidP="00A93C50"/>
          <w:p w14:paraId="1C9ED042" w14:textId="77777777" w:rsidR="00C46F88" w:rsidRPr="00DA1136" w:rsidRDefault="00C46F88" w:rsidP="00A93C50"/>
          <w:p w14:paraId="13A82EB0" w14:textId="77777777" w:rsidR="00C46F88" w:rsidRPr="00DA1136" w:rsidRDefault="00C46F88" w:rsidP="00A93C50"/>
          <w:p w14:paraId="3613C255" w14:textId="77777777" w:rsidR="00C46F88" w:rsidRPr="00DA1136" w:rsidRDefault="00C46F88" w:rsidP="00A93C50"/>
          <w:p w14:paraId="2F131567" w14:textId="77777777" w:rsidR="00C46F88" w:rsidRPr="00DA1136" w:rsidRDefault="00C46F88" w:rsidP="00A93C50"/>
          <w:p w14:paraId="0A28DC66" w14:textId="77777777" w:rsidR="00C46F88" w:rsidRPr="00DA1136" w:rsidRDefault="00C46F88" w:rsidP="00A93C50"/>
          <w:p w14:paraId="5C9BEF93" w14:textId="77777777" w:rsidR="00C46F88" w:rsidRPr="00DA1136" w:rsidRDefault="00C46F88" w:rsidP="00A93C50"/>
          <w:p w14:paraId="6542AEEB" w14:textId="77777777" w:rsidR="00C46F88" w:rsidRPr="00DA1136" w:rsidRDefault="00C46F88" w:rsidP="00A93C50"/>
          <w:p w14:paraId="4A3D6961" w14:textId="77777777" w:rsidR="00C46F88" w:rsidRPr="00DA1136" w:rsidRDefault="00C46F88" w:rsidP="00A93C50"/>
          <w:p w14:paraId="31007951" w14:textId="77777777" w:rsidR="00C46F88" w:rsidRPr="00DA1136" w:rsidRDefault="00C46F88" w:rsidP="00A93C50"/>
          <w:p w14:paraId="7A3AF269" w14:textId="77777777" w:rsidR="00C46F88" w:rsidRPr="00DA1136" w:rsidRDefault="00C46F88" w:rsidP="00A93C50"/>
          <w:p w14:paraId="4272AC1E" w14:textId="77777777" w:rsidR="00C46F88" w:rsidRPr="00DA1136" w:rsidRDefault="00C46F88" w:rsidP="00A93C50"/>
          <w:p w14:paraId="4441CC0C" w14:textId="77777777" w:rsidR="00C46F88" w:rsidRPr="00DA1136" w:rsidRDefault="00C46F88" w:rsidP="00A93C50"/>
          <w:p w14:paraId="2B3DB756" w14:textId="77777777" w:rsidR="00C46F88" w:rsidRPr="00DA1136" w:rsidRDefault="00C46F88" w:rsidP="00A93C50"/>
          <w:p w14:paraId="79AF22F3" w14:textId="77777777" w:rsidR="00C46F88" w:rsidRPr="00DA1136" w:rsidRDefault="00C46F88" w:rsidP="00A93C50"/>
          <w:p w14:paraId="4EDCB3C5" w14:textId="77777777" w:rsidR="00C46F88" w:rsidRPr="00DA1136" w:rsidRDefault="00C46F88" w:rsidP="00A93C50"/>
          <w:p w14:paraId="03E97133" w14:textId="77777777" w:rsidR="00C46F88" w:rsidRPr="00DA1136" w:rsidRDefault="00C46F88" w:rsidP="00A93C50"/>
          <w:p w14:paraId="2DA862D5" w14:textId="77777777" w:rsidR="00C46F88" w:rsidRPr="00DA1136" w:rsidRDefault="00C46F88" w:rsidP="00A93C50"/>
          <w:p w14:paraId="2FE44CC9" w14:textId="77777777" w:rsidR="00C46F88" w:rsidRPr="00DA1136" w:rsidRDefault="00C46F88" w:rsidP="00A93C50"/>
          <w:p w14:paraId="646298D4" w14:textId="77777777" w:rsidR="00C46F88" w:rsidRPr="00DA1136" w:rsidRDefault="00C46F88" w:rsidP="00A93C50"/>
          <w:p w14:paraId="358DE6BE" w14:textId="77777777" w:rsidR="00C46F88" w:rsidRPr="00DA1136" w:rsidRDefault="00C46F88" w:rsidP="00A93C50"/>
          <w:p w14:paraId="1FD9C5D1" w14:textId="77777777" w:rsidR="00C46F88" w:rsidRPr="00DA1136" w:rsidRDefault="00C46F88" w:rsidP="00A93C50"/>
          <w:p w14:paraId="00869EA6" w14:textId="77777777" w:rsidR="00C46F88" w:rsidRPr="00DA1136" w:rsidRDefault="00C46F88" w:rsidP="00A93C50"/>
          <w:p w14:paraId="4780F0DD" w14:textId="77777777" w:rsidR="00C46F88" w:rsidRPr="00DA1136" w:rsidRDefault="00C46F88" w:rsidP="00A93C50"/>
          <w:p w14:paraId="38A52EB8" w14:textId="77777777" w:rsidR="00C46F88" w:rsidRPr="00DA1136" w:rsidRDefault="00C46F88" w:rsidP="00A93C50"/>
          <w:p w14:paraId="33FE2562" w14:textId="77777777" w:rsidR="00C46F88" w:rsidRPr="00DA1136" w:rsidRDefault="00C46F88" w:rsidP="00A93C50"/>
          <w:p w14:paraId="37ECE097" w14:textId="77777777" w:rsidR="00C46F88" w:rsidRPr="00DA1136" w:rsidRDefault="00C46F88" w:rsidP="00A93C50"/>
          <w:p w14:paraId="1570DF58" w14:textId="77777777" w:rsidR="00C46F88" w:rsidRPr="00DA1136" w:rsidRDefault="00C46F88" w:rsidP="00A93C50"/>
          <w:p w14:paraId="2634E852" w14:textId="77777777" w:rsidR="00C46F88" w:rsidRPr="00DA1136" w:rsidRDefault="00C46F88" w:rsidP="00A93C50"/>
          <w:p w14:paraId="56C151DA" w14:textId="77777777" w:rsidR="00C46F88" w:rsidRPr="00DA1136" w:rsidRDefault="00C46F88" w:rsidP="00A93C50"/>
          <w:p w14:paraId="516DFDA6" w14:textId="77777777" w:rsidR="00C46F88" w:rsidRPr="00DA1136" w:rsidRDefault="00C46F88" w:rsidP="00A93C50"/>
          <w:p w14:paraId="03A8A0E6" w14:textId="77777777" w:rsidR="00C46F88" w:rsidRPr="00DA1136" w:rsidRDefault="00C46F88" w:rsidP="00A93C50"/>
          <w:p w14:paraId="773157FD" w14:textId="77777777" w:rsidR="00C46F88" w:rsidRPr="00DA1136" w:rsidRDefault="00C46F88" w:rsidP="00A93C50"/>
          <w:p w14:paraId="3B098D35" w14:textId="77777777" w:rsidR="00C46F88" w:rsidRPr="00DA1136" w:rsidRDefault="00C46F88" w:rsidP="00A93C50"/>
          <w:p w14:paraId="787AED50" w14:textId="77777777" w:rsidR="00C46F88" w:rsidRPr="00DA1136" w:rsidRDefault="00C46F88" w:rsidP="00A93C50"/>
          <w:p w14:paraId="1EEF05B5" w14:textId="77777777" w:rsidR="00C46F88" w:rsidRPr="00DA1136" w:rsidRDefault="00C46F88" w:rsidP="00A93C50"/>
          <w:p w14:paraId="52BABD1B" w14:textId="77777777" w:rsidR="00C46F88" w:rsidRPr="00DA1136" w:rsidRDefault="00C46F88" w:rsidP="00A93C50"/>
          <w:p w14:paraId="60F5922B" w14:textId="77777777" w:rsidR="00C46F88" w:rsidRPr="00DA1136" w:rsidRDefault="00C46F88" w:rsidP="00A93C50"/>
          <w:p w14:paraId="47F561E6" w14:textId="77777777" w:rsidR="00C46F88" w:rsidRPr="00DA1136" w:rsidRDefault="00C46F88" w:rsidP="00A93C50"/>
          <w:p w14:paraId="2BB98C13" w14:textId="77777777" w:rsidR="00C46F88" w:rsidRPr="00DA1136" w:rsidRDefault="00C46F88" w:rsidP="00A93C50"/>
          <w:p w14:paraId="083F6E60" w14:textId="77777777" w:rsidR="00C46F88" w:rsidRPr="00DA1136" w:rsidRDefault="00C46F88" w:rsidP="00A93C50"/>
          <w:p w14:paraId="047A1891" w14:textId="77777777" w:rsidR="00C46F88" w:rsidRPr="00DA1136" w:rsidRDefault="00C46F88" w:rsidP="00A93C50"/>
          <w:p w14:paraId="5B0D3549" w14:textId="77777777" w:rsidR="00C46F88" w:rsidRPr="00DA1136" w:rsidRDefault="00C46F88" w:rsidP="00A93C50"/>
          <w:p w14:paraId="24C21DB8" w14:textId="77777777" w:rsidR="00C46F88" w:rsidRPr="00DA1136" w:rsidRDefault="00C46F88" w:rsidP="00A93C50"/>
          <w:p w14:paraId="45FADA69" w14:textId="77777777" w:rsidR="00C46F88" w:rsidRPr="00DA1136" w:rsidRDefault="00C46F88" w:rsidP="00A93C50"/>
          <w:p w14:paraId="4399BB52" w14:textId="77777777" w:rsidR="00C46F88" w:rsidRPr="00DA1136" w:rsidRDefault="00C46F88" w:rsidP="00A93C50"/>
          <w:p w14:paraId="7BB41612" w14:textId="77777777" w:rsidR="00C46F88" w:rsidRPr="00DA1136" w:rsidRDefault="00C46F88" w:rsidP="00A93C50"/>
          <w:p w14:paraId="46BFB636" w14:textId="77777777" w:rsidR="00C46F88" w:rsidRPr="00DA1136" w:rsidRDefault="00C46F88" w:rsidP="00A93C50"/>
          <w:p w14:paraId="43BE1141" w14:textId="77777777" w:rsidR="00C46F88" w:rsidRPr="00DA1136" w:rsidRDefault="00C46F88" w:rsidP="00A93C50"/>
          <w:p w14:paraId="6DA8CA12" w14:textId="77777777" w:rsidR="00C46F88" w:rsidRPr="00DA1136" w:rsidRDefault="00C46F88" w:rsidP="00A93C50"/>
          <w:p w14:paraId="7F5CFE1C" w14:textId="77777777" w:rsidR="00C46F88" w:rsidRPr="00DA1136" w:rsidRDefault="00C46F88" w:rsidP="00A93C50"/>
          <w:p w14:paraId="2D8D75D4" w14:textId="77777777" w:rsidR="00C46F88" w:rsidRPr="00DA1136" w:rsidRDefault="00C46F88" w:rsidP="00A93C50"/>
          <w:p w14:paraId="26EE1105" w14:textId="77777777" w:rsidR="00C46F88" w:rsidRPr="00DA1136" w:rsidRDefault="00C46F88" w:rsidP="00A93C50"/>
          <w:p w14:paraId="160FBFD7" w14:textId="77777777" w:rsidR="00C46F88" w:rsidRPr="00DA1136" w:rsidRDefault="00C46F88" w:rsidP="00A93C50"/>
          <w:p w14:paraId="753F5878" w14:textId="77777777" w:rsidR="00C46F88" w:rsidRPr="00DA1136" w:rsidRDefault="00C46F88" w:rsidP="00A93C50"/>
          <w:p w14:paraId="1A31EABB" w14:textId="77777777" w:rsidR="00C46F88" w:rsidRPr="00DA1136" w:rsidRDefault="00C46F88" w:rsidP="00A93C50"/>
          <w:p w14:paraId="0806DA95" w14:textId="77777777" w:rsidR="00C46F88" w:rsidRPr="00DA1136" w:rsidRDefault="00C46F88" w:rsidP="00A93C50"/>
          <w:p w14:paraId="09FC4705" w14:textId="77777777" w:rsidR="00C46F88" w:rsidRPr="00DA1136" w:rsidRDefault="00C46F88" w:rsidP="00A93C50"/>
          <w:p w14:paraId="2E3D49D5" w14:textId="77777777" w:rsidR="00C46F88" w:rsidRPr="00DA1136" w:rsidRDefault="00C46F88" w:rsidP="00A93C50"/>
          <w:p w14:paraId="00464102" w14:textId="77777777" w:rsidR="00C46F88" w:rsidRPr="00DA1136" w:rsidRDefault="00C46F88" w:rsidP="00A93C50"/>
          <w:p w14:paraId="223887ED" w14:textId="77777777" w:rsidR="00C46F88" w:rsidRPr="00DA1136" w:rsidRDefault="00C46F88" w:rsidP="00A93C50"/>
          <w:p w14:paraId="6DC34A4A" w14:textId="77777777" w:rsidR="00C46F88" w:rsidRPr="00DA1136" w:rsidRDefault="00C46F88" w:rsidP="00A93C50"/>
          <w:p w14:paraId="7805F423" w14:textId="77777777" w:rsidR="00C46F88" w:rsidRPr="00DA1136" w:rsidRDefault="00C46F88" w:rsidP="00A93C50"/>
          <w:p w14:paraId="1773DB47" w14:textId="77777777" w:rsidR="00C46F88" w:rsidRPr="00DA1136" w:rsidRDefault="00C46F88" w:rsidP="00A93C50"/>
          <w:p w14:paraId="52AFF04F" w14:textId="77777777" w:rsidR="00C46F88" w:rsidRPr="00DA1136" w:rsidRDefault="00C46F88" w:rsidP="00A93C50"/>
          <w:p w14:paraId="42A2E569" w14:textId="77777777" w:rsidR="00C46F88" w:rsidRPr="00DA1136" w:rsidRDefault="00C46F88" w:rsidP="00A93C50"/>
          <w:p w14:paraId="7E47B765" w14:textId="77777777" w:rsidR="00C46F88" w:rsidRPr="00DA1136" w:rsidRDefault="00C46F88" w:rsidP="00A93C50"/>
          <w:p w14:paraId="20539E1F" w14:textId="77777777" w:rsidR="00C46F88" w:rsidRPr="00DA1136" w:rsidRDefault="00C46F88" w:rsidP="00A93C50"/>
          <w:p w14:paraId="42E5CBA0" w14:textId="77777777" w:rsidR="00C46F88" w:rsidRPr="00DA1136" w:rsidRDefault="00C46F88" w:rsidP="00A93C50"/>
          <w:p w14:paraId="04C19418" w14:textId="77777777" w:rsidR="00C46F88" w:rsidRPr="00DA1136" w:rsidRDefault="00C46F88" w:rsidP="00A93C50"/>
          <w:p w14:paraId="115AFD77" w14:textId="77777777" w:rsidR="00C46F88" w:rsidRPr="00DA1136" w:rsidRDefault="00C46F88" w:rsidP="00A93C50"/>
          <w:p w14:paraId="6ABA802A" w14:textId="77777777" w:rsidR="00C46F88" w:rsidRPr="00DA1136" w:rsidRDefault="00C46F88" w:rsidP="00A93C50"/>
          <w:p w14:paraId="0FD3C578" w14:textId="77777777" w:rsidR="00C46F88" w:rsidRPr="00DA1136" w:rsidRDefault="00C46F88" w:rsidP="00A93C50"/>
          <w:p w14:paraId="4A4B49E3" w14:textId="77777777" w:rsidR="00C46F88" w:rsidRPr="00DA1136" w:rsidRDefault="00C46F88" w:rsidP="00A93C50"/>
          <w:p w14:paraId="455E5345" w14:textId="77777777" w:rsidR="00A93C50" w:rsidRDefault="00634FBA" w:rsidP="001A0074">
            <w:r w:rsidRPr="00DA1136">
              <w:t xml:space="preserve">La utilización de derivados de cobertura está prevista en el artículo </w:t>
            </w:r>
            <w:r w:rsidR="0003497F" w:rsidRPr="00DA1136">
              <w:t xml:space="preserve">63 de la Ley No. 7983 y en los artículos </w:t>
            </w:r>
            <w:r w:rsidR="002D06FF" w:rsidRPr="00DA1136">
              <w:t xml:space="preserve">18 y siguientes del </w:t>
            </w:r>
            <w:r w:rsidR="002D06FF" w:rsidRPr="00DA1136">
              <w:rPr>
                <w:i/>
                <w:iCs/>
              </w:rPr>
              <w:t>Reglamento de Gestión de Activos</w:t>
            </w:r>
            <w:r w:rsidR="008348C2" w:rsidRPr="00DA1136">
              <w:rPr>
                <w:i/>
                <w:iCs/>
              </w:rPr>
              <w:t xml:space="preserve">, </w:t>
            </w:r>
            <w:r w:rsidR="008348C2" w:rsidRPr="00DA1136">
              <w:t>por lo que sí es posible su utilización.</w:t>
            </w:r>
          </w:p>
          <w:p w14:paraId="4EAD54AF" w14:textId="77777777" w:rsidR="007F151E" w:rsidRPr="00DA1136" w:rsidRDefault="007F151E" w:rsidP="007F151E">
            <w:r w:rsidRPr="00DA1136">
              <w:t xml:space="preserve">Véanse los comentarios en: </w:t>
            </w:r>
            <w:r w:rsidRPr="00C61C81">
              <w:rPr>
                <w:b/>
                <w:bCs/>
              </w:rPr>
              <w:t>Fondo ICE/SUPEN</w:t>
            </w:r>
            <w:r w:rsidR="006B6CA8" w:rsidRPr="00C61C81">
              <w:rPr>
                <w:b/>
                <w:bCs/>
              </w:rPr>
              <w:t>.</w:t>
            </w:r>
          </w:p>
          <w:p w14:paraId="6A969683" w14:textId="77777777" w:rsidR="00FF09E4" w:rsidRDefault="00FF09E4" w:rsidP="00B13131"/>
          <w:p w14:paraId="2E1910BC" w14:textId="77777777" w:rsidR="001A7F3D" w:rsidRDefault="001A7F3D" w:rsidP="00B13131"/>
          <w:p w14:paraId="12A3BA6A" w14:textId="77777777" w:rsidR="001A7F3D" w:rsidRDefault="001A7F3D" w:rsidP="00B13131"/>
          <w:p w14:paraId="2E333E3D" w14:textId="77777777" w:rsidR="001A7F3D" w:rsidRDefault="001A7F3D" w:rsidP="00B13131"/>
          <w:p w14:paraId="7EE779CE" w14:textId="77777777" w:rsidR="001A7F3D" w:rsidRDefault="001A7F3D" w:rsidP="00B13131"/>
          <w:p w14:paraId="1138D743" w14:textId="77777777" w:rsidR="001A7F3D" w:rsidRDefault="001A7F3D" w:rsidP="00B13131"/>
          <w:p w14:paraId="4CA6EFE5" w14:textId="77777777" w:rsidR="001A7F3D" w:rsidRDefault="001A7F3D" w:rsidP="00B13131"/>
          <w:p w14:paraId="3B4DF3C4" w14:textId="77777777" w:rsidR="001A7F3D" w:rsidRDefault="001A7F3D" w:rsidP="00B13131"/>
          <w:p w14:paraId="388D7C4C" w14:textId="77777777" w:rsidR="001A7F3D" w:rsidRDefault="001A7F3D" w:rsidP="00B13131"/>
          <w:p w14:paraId="26E63E23" w14:textId="77777777" w:rsidR="001A7F3D" w:rsidRDefault="001A7F3D" w:rsidP="00B13131"/>
          <w:p w14:paraId="69EA85FA" w14:textId="77777777" w:rsidR="001A7F3D" w:rsidRDefault="001A7F3D" w:rsidP="00B13131"/>
          <w:p w14:paraId="6522A9AD" w14:textId="77777777" w:rsidR="001A7F3D" w:rsidRDefault="001A7F3D" w:rsidP="00B13131"/>
          <w:p w14:paraId="7DD4343A" w14:textId="77777777" w:rsidR="001A7F3D" w:rsidRDefault="001A7F3D" w:rsidP="00B13131"/>
          <w:p w14:paraId="50E481DE" w14:textId="77777777" w:rsidR="001A7F3D" w:rsidRDefault="001A7F3D" w:rsidP="00B13131"/>
          <w:p w14:paraId="6956F198" w14:textId="77777777" w:rsidR="001A7F3D" w:rsidRDefault="001A7F3D" w:rsidP="00B13131"/>
          <w:p w14:paraId="477F4D27" w14:textId="77777777" w:rsidR="001A7F3D" w:rsidRPr="00DA1136" w:rsidRDefault="001A7F3D" w:rsidP="00B13131"/>
          <w:p w14:paraId="79BFB173" w14:textId="77777777" w:rsidR="00E65ED2" w:rsidRPr="00E65ED2" w:rsidRDefault="00A343BA" w:rsidP="00E65ED2">
            <w:pPr>
              <w:rPr>
                <w:b/>
                <w:bCs/>
              </w:rPr>
            </w:pPr>
            <w:r>
              <w:t>Ve</w:t>
            </w:r>
            <w:r w:rsidRPr="00E65ED2">
              <w:t>r</w:t>
            </w:r>
            <w:r w:rsidR="00E65ED2" w:rsidRPr="00E65ED2">
              <w:t xml:space="preserve"> los comentarios</w:t>
            </w:r>
          </w:p>
          <w:p w14:paraId="4A077247" w14:textId="77777777" w:rsidR="00E65ED2" w:rsidRPr="00FA3030" w:rsidRDefault="00E65ED2" w:rsidP="00E65ED2">
            <w:pPr>
              <w:rPr>
                <w:b/>
                <w:bCs/>
              </w:rPr>
            </w:pPr>
            <w:r w:rsidRPr="00FA3030">
              <w:rPr>
                <w:b/>
                <w:bCs/>
              </w:rPr>
              <w:t>Fondo ICE/SUPEN</w:t>
            </w:r>
            <w:r w:rsidRPr="00E65ED2">
              <w:t>.</w:t>
            </w:r>
          </w:p>
          <w:p w14:paraId="1AB7DE0B" w14:textId="77777777" w:rsidR="00A343BA" w:rsidRDefault="00A343BA" w:rsidP="00B13131"/>
          <w:p w14:paraId="1ACE1414" w14:textId="77777777" w:rsidR="00A343BA" w:rsidRDefault="00A343BA" w:rsidP="00B13131"/>
          <w:p w14:paraId="6EE51310" w14:textId="77777777" w:rsidR="00A343BA" w:rsidRDefault="00A343BA" w:rsidP="00B13131"/>
          <w:p w14:paraId="651937CF" w14:textId="77777777" w:rsidR="00A343BA" w:rsidRDefault="00A343BA" w:rsidP="00B13131"/>
          <w:p w14:paraId="137EE8BA" w14:textId="77777777" w:rsidR="00A343BA" w:rsidRDefault="00A343BA" w:rsidP="00B13131"/>
          <w:p w14:paraId="06B2E9F6" w14:textId="77777777" w:rsidR="00A343BA" w:rsidRDefault="00A343BA" w:rsidP="00B13131"/>
          <w:p w14:paraId="18C6334C" w14:textId="77777777" w:rsidR="00A343BA" w:rsidRDefault="00A343BA" w:rsidP="00B13131"/>
          <w:p w14:paraId="06AAB58B" w14:textId="77777777" w:rsidR="00A343BA" w:rsidRDefault="00A343BA" w:rsidP="00B13131"/>
          <w:p w14:paraId="5E033B2F" w14:textId="77777777" w:rsidR="00A343BA" w:rsidRDefault="00A343BA" w:rsidP="00B13131"/>
          <w:p w14:paraId="3D0261ED" w14:textId="77777777" w:rsidR="00A343BA" w:rsidRDefault="00A343BA" w:rsidP="00B13131"/>
          <w:p w14:paraId="1F73917F" w14:textId="77777777" w:rsidR="00A343BA" w:rsidRDefault="00A343BA" w:rsidP="00B13131"/>
          <w:p w14:paraId="2FA18B28" w14:textId="77777777" w:rsidR="00A343BA" w:rsidRDefault="00A343BA" w:rsidP="00B13131"/>
          <w:p w14:paraId="63644516" w14:textId="77777777" w:rsidR="00A343BA" w:rsidRDefault="00A343BA" w:rsidP="00B13131"/>
          <w:p w14:paraId="18BB48BE" w14:textId="77777777" w:rsidR="00A343BA" w:rsidRDefault="00A343BA" w:rsidP="00B13131"/>
          <w:p w14:paraId="63E25C24" w14:textId="77777777" w:rsidR="00A343BA" w:rsidRDefault="00A343BA" w:rsidP="00B13131"/>
          <w:p w14:paraId="7DF5B6FA" w14:textId="77777777" w:rsidR="00A343BA" w:rsidRDefault="00A343BA" w:rsidP="00B13131"/>
          <w:p w14:paraId="56799638" w14:textId="77777777" w:rsidR="00A343BA" w:rsidRDefault="00A343BA" w:rsidP="00B13131"/>
          <w:p w14:paraId="1184D6DC" w14:textId="77777777" w:rsidR="00A343BA" w:rsidRDefault="00A343BA" w:rsidP="00B13131"/>
          <w:p w14:paraId="30337AB5" w14:textId="77777777" w:rsidR="00A343BA" w:rsidRDefault="00A343BA" w:rsidP="00B13131"/>
          <w:p w14:paraId="41F741DA" w14:textId="77777777" w:rsidR="00A343BA" w:rsidRDefault="00A343BA" w:rsidP="00B13131"/>
          <w:p w14:paraId="45A628B4" w14:textId="77777777" w:rsidR="00A343BA" w:rsidRPr="00DA1136" w:rsidRDefault="00A343BA" w:rsidP="00B13131"/>
          <w:p w14:paraId="1274596F" w14:textId="77777777" w:rsidR="00B829E3" w:rsidRPr="00DA1136" w:rsidRDefault="00B829E3" w:rsidP="00B829E3">
            <w:r w:rsidRPr="00DA1136">
              <w:t xml:space="preserve">Véanse los comentarios en: </w:t>
            </w:r>
            <w:r w:rsidRPr="00E94CFB">
              <w:rPr>
                <w:b/>
                <w:bCs/>
              </w:rPr>
              <w:t>Fondo ICE/SUPEN</w:t>
            </w:r>
          </w:p>
          <w:p w14:paraId="1497BB36" w14:textId="77777777" w:rsidR="00B829E3" w:rsidRDefault="00B829E3" w:rsidP="001A0074"/>
          <w:p w14:paraId="1BF5CFD3" w14:textId="77777777" w:rsidR="007B4811" w:rsidRDefault="007B4811" w:rsidP="001A0074"/>
          <w:p w14:paraId="403296E3" w14:textId="77777777" w:rsidR="007B4811" w:rsidRDefault="007B4811" w:rsidP="001A0074"/>
          <w:p w14:paraId="6FD35602" w14:textId="77777777" w:rsidR="007B4811" w:rsidRDefault="007B4811" w:rsidP="001A0074"/>
          <w:p w14:paraId="199778E0" w14:textId="77777777" w:rsidR="007B4811" w:rsidRDefault="007B4811" w:rsidP="001A0074"/>
          <w:p w14:paraId="6304DD73" w14:textId="77777777" w:rsidR="007B4811" w:rsidRDefault="007B4811" w:rsidP="001A0074"/>
          <w:p w14:paraId="4CB067D5" w14:textId="77777777" w:rsidR="007B4811" w:rsidRDefault="007B4811" w:rsidP="001A0074"/>
          <w:p w14:paraId="268C352A" w14:textId="77777777" w:rsidR="007B4811" w:rsidRDefault="007B4811" w:rsidP="001A0074"/>
          <w:p w14:paraId="6BE05D7A" w14:textId="77777777" w:rsidR="007B4811" w:rsidRDefault="007B4811" w:rsidP="001A0074"/>
          <w:p w14:paraId="196F0DA1" w14:textId="77777777" w:rsidR="007B4811" w:rsidRDefault="007B4811" w:rsidP="001A0074"/>
          <w:p w14:paraId="546A9A27" w14:textId="77777777" w:rsidR="007B4811" w:rsidRDefault="007B4811" w:rsidP="001A0074"/>
          <w:p w14:paraId="18A89AA5" w14:textId="77777777" w:rsidR="007B4811" w:rsidRDefault="007B4811" w:rsidP="001A0074"/>
          <w:p w14:paraId="17416291" w14:textId="77777777" w:rsidR="007B4811" w:rsidRDefault="007B4811" w:rsidP="001A0074"/>
          <w:p w14:paraId="426F181D" w14:textId="77777777" w:rsidR="007B4811" w:rsidRDefault="007B4811" w:rsidP="001A0074"/>
          <w:p w14:paraId="3AFCD64B" w14:textId="77777777" w:rsidR="007B4811" w:rsidRDefault="007B4811" w:rsidP="001A0074"/>
          <w:p w14:paraId="10B5D936" w14:textId="77777777" w:rsidR="007B4811" w:rsidRDefault="007B4811" w:rsidP="001A0074"/>
          <w:p w14:paraId="2B5A978D" w14:textId="77777777" w:rsidR="007B4811" w:rsidRDefault="007B4811" w:rsidP="001A0074"/>
          <w:p w14:paraId="4D74D922" w14:textId="77777777" w:rsidR="007B4811" w:rsidRDefault="007B4811" w:rsidP="001A0074"/>
          <w:p w14:paraId="16BAD02F" w14:textId="77777777" w:rsidR="007B4811" w:rsidRDefault="007B4811" w:rsidP="001A0074"/>
          <w:p w14:paraId="17D164F5" w14:textId="77777777" w:rsidR="007B4811" w:rsidRDefault="007B4811" w:rsidP="001A0074"/>
          <w:p w14:paraId="571AC23A" w14:textId="77777777" w:rsidR="007B4811" w:rsidRDefault="007B4811" w:rsidP="001A0074"/>
          <w:p w14:paraId="3899FFE4" w14:textId="77777777" w:rsidR="007B4811" w:rsidRDefault="007B4811" w:rsidP="001A0074"/>
          <w:p w14:paraId="06FA98FC" w14:textId="77777777" w:rsidR="007B4811" w:rsidRDefault="007B4811" w:rsidP="001A0074"/>
          <w:p w14:paraId="56CBB624" w14:textId="77777777" w:rsidR="007B4811" w:rsidRDefault="007B4811" w:rsidP="001A0074"/>
          <w:p w14:paraId="60175E90" w14:textId="77777777" w:rsidR="007B4811" w:rsidRDefault="007B4811" w:rsidP="001A0074"/>
          <w:p w14:paraId="7B93B232" w14:textId="77777777" w:rsidR="007B4811" w:rsidRPr="00DA1136" w:rsidRDefault="007B4811" w:rsidP="001A0074"/>
          <w:p w14:paraId="6C2819FA" w14:textId="77777777" w:rsidR="00817F09" w:rsidRPr="00DA1136" w:rsidRDefault="00817F09" w:rsidP="00817F09">
            <w:r w:rsidRPr="00DA1136">
              <w:lastRenderedPageBreak/>
              <w:t xml:space="preserve">Véanse los comentarios en: </w:t>
            </w:r>
            <w:r w:rsidRPr="00E94CFB">
              <w:rPr>
                <w:b/>
                <w:bCs/>
              </w:rPr>
              <w:t>Fondo ICE/SUPEN</w:t>
            </w:r>
          </w:p>
          <w:p w14:paraId="597988B9" w14:textId="77777777" w:rsidR="002C1147" w:rsidRPr="00DA1136" w:rsidRDefault="002C1147" w:rsidP="001A0074"/>
          <w:p w14:paraId="267F199E" w14:textId="77777777" w:rsidR="002C1147" w:rsidRPr="00DA1136" w:rsidRDefault="002C1147" w:rsidP="001A0074"/>
          <w:p w14:paraId="75069843" w14:textId="77777777" w:rsidR="002C1147" w:rsidRPr="00DA1136" w:rsidRDefault="002C1147" w:rsidP="001A0074"/>
          <w:p w14:paraId="190C48B0" w14:textId="77777777" w:rsidR="002C1147" w:rsidRPr="00DA1136" w:rsidRDefault="002C1147" w:rsidP="001A0074"/>
          <w:p w14:paraId="074D55A4" w14:textId="77777777" w:rsidR="002C1147" w:rsidRDefault="002C1147" w:rsidP="001A0074"/>
          <w:p w14:paraId="3CDB35EB" w14:textId="77777777" w:rsidR="00817F09" w:rsidRDefault="00817F09" w:rsidP="001A0074"/>
          <w:p w14:paraId="40B03AD5" w14:textId="77777777" w:rsidR="00817F09" w:rsidRPr="00DA1136" w:rsidRDefault="00817F09" w:rsidP="001A0074"/>
          <w:p w14:paraId="43CDDBA4" w14:textId="77777777" w:rsidR="002C1147" w:rsidRPr="00DA1136" w:rsidRDefault="002C1147" w:rsidP="001A0074"/>
          <w:p w14:paraId="4B6FE963" w14:textId="77777777" w:rsidR="00C73D33" w:rsidRPr="00DA1136" w:rsidRDefault="00C73D33" w:rsidP="00C73D33">
            <w:r w:rsidRPr="00DA1136">
              <w:t>Se elimina la cobertura sobre los flujos para el pago de pensiones, traslados y retiros.</w:t>
            </w:r>
          </w:p>
          <w:p w14:paraId="1F594765" w14:textId="77777777" w:rsidR="004852FC" w:rsidRPr="00DA1136" w:rsidRDefault="004852FC" w:rsidP="00C73D33"/>
          <w:p w14:paraId="3F14ABA8" w14:textId="77777777" w:rsidR="004852FC" w:rsidRPr="00DA1136" w:rsidRDefault="004852FC" w:rsidP="00C73D33"/>
          <w:p w14:paraId="170A2E31" w14:textId="77777777" w:rsidR="004852FC" w:rsidRPr="00DA1136" w:rsidRDefault="004852FC" w:rsidP="00C73D33"/>
          <w:p w14:paraId="7C9ABF53" w14:textId="77777777" w:rsidR="004852FC" w:rsidRPr="00DA1136" w:rsidRDefault="004852FC" w:rsidP="00C73D33"/>
          <w:p w14:paraId="57AAD5D3" w14:textId="77777777" w:rsidR="004852FC" w:rsidRPr="00DA1136" w:rsidRDefault="004852FC" w:rsidP="00C73D33"/>
          <w:p w14:paraId="4FD9F776" w14:textId="77777777" w:rsidR="002C1147" w:rsidRPr="00DA1136" w:rsidRDefault="002C1147" w:rsidP="001A0074"/>
          <w:p w14:paraId="77F754B6" w14:textId="77777777" w:rsidR="0008187E" w:rsidRPr="00DA1136" w:rsidRDefault="0008187E" w:rsidP="001A0074"/>
          <w:p w14:paraId="6679CB11" w14:textId="77777777" w:rsidR="0008187E" w:rsidRPr="00DA1136" w:rsidRDefault="0008187E" w:rsidP="001A0074"/>
          <w:p w14:paraId="69703C3E" w14:textId="77777777" w:rsidR="0008187E" w:rsidRPr="00DA1136" w:rsidRDefault="0008187E" w:rsidP="001A0074"/>
          <w:p w14:paraId="11C3F409" w14:textId="77777777" w:rsidR="0008187E" w:rsidRPr="00DA1136" w:rsidRDefault="0008187E" w:rsidP="001A0074"/>
          <w:p w14:paraId="2575CB1F" w14:textId="77777777" w:rsidR="0008187E" w:rsidRPr="00DA1136" w:rsidRDefault="0008187E" w:rsidP="001A0074"/>
          <w:p w14:paraId="32FE3389" w14:textId="77777777" w:rsidR="0008187E" w:rsidRPr="00DA1136" w:rsidRDefault="0008187E" w:rsidP="001A0074"/>
          <w:p w14:paraId="5D0BEF5A" w14:textId="77777777" w:rsidR="0008187E" w:rsidRPr="00DA1136" w:rsidRDefault="0008187E" w:rsidP="001A0074"/>
          <w:p w14:paraId="2DEA2EB5" w14:textId="77777777" w:rsidR="0008187E" w:rsidRPr="00DA1136" w:rsidRDefault="0008187E" w:rsidP="001A0074"/>
          <w:p w14:paraId="0C0E9585" w14:textId="77777777" w:rsidR="0008187E" w:rsidRPr="00DA1136" w:rsidRDefault="0008187E" w:rsidP="001A0074"/>
          <w:p w14:paraId="268AD8E6" w14:textId="77777777" w:rsidR="0008187E" w:rsidRPr="00DA1136" w:rsidRDefault="0008187E" w:rsidP="001A0074"/>
          <w:p w14:paraId="37AFB145" w14:textId="77777777" w:rsidR="0008187E" w:rsidRPr="00DA1136" w:rsidRDefault="0008187E" w:rsidP="001A0074"/>
          <w:p w14:paraId="6A306301" w14:textId="77777777" w:rsidR="0008187E" w:rsidRPr="00DA1136" w:rsidRDefault="0008187E" w:rsidP="001A0074"/>
          <w:p w14:paraId="5D530D61" w14:textId="77777777" w:rsidR="0008187E" w:rsidRPr="00DA1136" w:rsidRDefault="0008187E" w:rsidP="001A0074"/>
          <w:p w14:paraId="56353148" w14:textId="77777777" w:rsidR="0008187E" w:rsidRPr="00DA1136" w:rsidRDefault="0008187E" w:rsidP="001A0074"/>
          <w:p w14:paraId="51B07856" w14:textId="77777777" w:rsidR="0008187E" w:rsidRPr="00DA1136" w:rsidRDefault="0008187E" w:rsidP="001A0074"/>
          <w:p w14:paraId="7A056BA2" w14:textId="77777777" w:rsidR="0008187E" w:rsidRPr="00DA1136" w:rsidRDefault="0008187E" w:rsidP="001A0074"/>
          <w:p w14:paraId="3CFF1160" w14:textId="77777777" w:rsidR="0008187E" w:rsidRPr="00DA1136" w:rsidRDefault="0008187E" w:rsidP="001A0074"/>
          <w:p w14:paraId="204A5C87" w14:textId="77777777" w:rsidR="0008187E" w:rsidRPr="00DA1136" w:rsidRDefault="0008187E" w:rsidP="001A0074"/>
          <w:p w14:paraId="5FCC79E9" w14:textId="77777777" w:rsidR="0008187E" w:rsidRPr="00DA1136" w:rsidRDefault="0008187E" w:rsidP="001A0074"/>
          <w:p w14:paraId="426DDBCD" w14:textId="77777777" w:rsidR="0008187E" w:rsidRPr="00DA1136" w:rsidRDefault="0008187E" w:rsidP="001A0074"/>
          <w:p w14:paraId="0B96207E" w14:textId="77777777" w:rsidR="0008187E" w:rsidRPr="00DA1136" w:rsidRDefault="0008187E" w:rsidP="001A0074"/>
          <w:p w14:paraId="19692D29" w14:textId="77777777" w:rsidR="0008187E" w:rsidRPr="00DA1136" w:rsidRDefault="0008187E" w:rsidP="001A0074"/>
          <w:p w14:paraId="72F637E3" w14:textId="77777777" w:rsidR="0008187E" w:rsidRPr="00DA1136" w:rsidRDefault="0008187E" w:rsidP="001A0074"/>
          <w:p w14:paraId="6ACAEFEE" w14:textId="77777777" w:rsidR="0008187E" w:rsidRPr="00DA1136" w:rsidRDefault="0008187E" w:rsidP="001A0074"/>
          <w:p w14:paraId="06637008" w14:textId="77777777" w:rsidR="0008187E" w:rsidRPr="00DA1136" w:rsidRDefault="0008187E" w:rsidP="001A0074"/>
          <w:p w14:paraId="2FCD8C0B" w14:textId="77777777" w:rsidR="001A48E0" w:rsidRPr="00DA1136" w:rsidRDefault="001A48E0" w:rsidP="001A48E0"/>
          <w:p w14:paraId="7B82511E" w14:textId="77777777" w:rsidR="00FA151D" w:rsidRPr="00DA1136" w:rsidRDefault="00FA151D" w:rsidP="001A48E0"/>
          <w:p w14:paraId="516EE4E8" w14:textId="77777777" w:rsidR="00B65263" w:rsidRPr="00DA1136" w:rsidRDefault="00B65263" w:rsidP="00B65263">
            <w:r w:rsidRPr="00DA1136">
              <w:t xml:space="preserve">Véanse los comentarios en: </w:t>
            </w:r>
            <w:r w:rsidRPr="00E94CFB">
              <w:rPr>
                <w:b/>
                <w:bCs/>
              </w:rPr>
              <w:t>Fondo ICE/SUPEN</w:t>
            </w:r>
          </w:p>
          <w:p w14:paraId="26507F9C" w14:textId="77777777" w:rsidR="00AF2A2A" w:rsidRPr="00DA1136" w:rsidRDefault="00B65263" w:rsidP="001A0074">
            <w:r>
              <w:t xml:space="preserve"> </w:t>
            </w:r>
          </w:p>
          <w:p w14:paraId="793C49A7" w14:textId="77777777" w:rsidR="00AF2A2A" w:rsidRPr="00DA1136" w:rsidRDefault="00AF2A2A" w:rsidP="001A0074">
            <w:r w:rsidRPr="00DA1136">
              <w:t xml:space="preserve">En lo concerniente a los costos véase el comentario correspondiente a </w:t>
            </w:r>
            <w:r w:rsidRPr="00F577A0">
              <w:rPr>
                <w:b/>
                <w:bCs/>
              </w:rPr>
              <w:t>BNCR/SUPEN.</w:t>
            </w:r>
          </w:p>
        </w:tc>
        <w:tc>
          <w:tcPr>
            <w:tcW w:w="2184" w:type="dxa"/>
          </w:tcPr>
          <w:p w14:paraId="18E27E89" w14:textId="77777777" w:rsidR="008B67B9" w:rsidRPr="00DA1136" w:rsidRDefault="008B67B9" w:rsidP="008B67B9">
            <w:pPr>
              <w:rPr>
                <w:b/>
                <w:bCs/>
                <w:lang w:val="es-ES"/>
              </w:rPr>
            </w:pPr>
            <w:r w:rsidRPr="00DA1136">
              <w:rPr>
                <w:lang w:val="es-ES"/>
              </w:rPr>
              <w:lastRenderedPageBreak/>
              <w:t>“</w:t>
            </w:r>
            <w:r w:rsidRPr="00DA1136">
              <w:rPr>
                <w:b/>
                <w:bCs/>
                <w:lang w:val="es-ES"/>
              </w:rPr>
              <w:t>Artículo 15. Monedas permitidas</w:t>
            </w:r>
          </w:p>
          <w:p w14:paraId="441D12C7" w14:textId="77777777" w:rsidR="008B67B9" w:rsidRPr="00DA1136" w:rsidRDefault="008B67B9" w:rsidP="008B67B9">
            <w:pPr>
              <w:rPr>
                <w:b/>
                <w:bCs/>
                <w:lang w:val="es-ES"/>
              </w:rPr>
            </w:pPr>
            <w:r w:rsidRPr="00DA1136">
              <w:rPr>
                <w:b/>
                <w:bCs/>
                <w:lang w:val="es-ES"/>
              </w:rPr>
              <w:t>(…)</w:t>
            </w:r>
          </w:p>
          <w:p w14:paraId="2A66414C" w14:textId="77777777" w:rsidR="008B67B9" w:rsidRPr="00DA1136" w:rsidRDefault="008B67B9" w:rsidP="008B67B9">
            <w:pPr>
              <w:rPr>
                <w:lang w:val="es-ES"/>
              </w:rPr>
            </w:pPr>
            <w:r w:rsidRPr="00DA1136">
              <w:rPr>
                <w:lang w:val="es-ES"/>
              </w:rPr>
              <w:t>La suma de las inversiones en moneda extranjera que puede tener sin cobertura de tipo de cambio un fondo de pensiones denominado en colones, no podrá exceder del 50% del valor de su activo.</w:t>
            </w:r>
          </w:p>
          <w:p w14:paraId="2FE3D4C1" w14:textId="77777777" w:rsidR="008B67B9" w:rsidRPr="00DA1136" w:rsidRDefault="008B67B9" w:rsidP="008B67B9">
            <w:pPr>
              <w:rPr>
                <w:lang w:val="es-ES"/>
              </w:rPr>
            </w:pPr>
          </w:p>
          <w:p w14:paraId="5265C947" w14:textId="77777777" w:rsidR="0076517B" w:rsidRPr="00DA1136" w:rsidRDefault="008B67B9" w:rsidP="008B67B9">
            <w:pPr>
              <w:rPr>
                <w:lang w:val="es-ES"/>
              </w:rPr>
            </w:pPr>
            <w:r w:rsidRPr="00DA1136">
              <w:rPr>
                <w:lang w:val="es-ES"/>
              </w:rPr>
              <w:t xml:space="preserve">La anterior disposición también </w:t>
            </w:r>
            <w:r w:rsidRPr="00DA1136">
              <w:rPr>
                <w:lang w:val="es-ES"/>
              </w:rPr>
              <w:lastRenderedPageBreak/>
              <w:t>aplica al Fondo de Capitalización Laboral.”</w:t>
            </w:r>
          </w:p>
        </w:tc>
      </w:tr>
      <w:tr w:rsidR="006B1BE7" w:rsidRPr="00DA1136" w14:paraId="5A842DAB" w14:textId="77777777" w:rsidTr="0084583A">
        <w:trPr>
          <w:gridAfter w:val="4"/>
          <w:wAfter w:w="6644" w:type="dxa"/>
        </w:trPr>
        <w:tc>
          <w:tcPr>
            <w:tcW w:w="2184" w:type="dxa"/>
          </w:tcPr>
          <w:p w14:paraId="34BB4B6A" w14:textId="77777777" w:rsidR="006B1BE7" w:rsidRPr="00DA1136" w:rsidRDefault="006B1BE7" w:rsidP="00B5278C">
            <w:r w:rsidRPr="00DA1136">
              <w:lastRenderedPageBreak/>
              <w:t>“</w:t>
            </w:r>
            <w:r w:rsidRPr="00DA1136">
              <w:rPr>
                <w:b/>
                <w:bCs/>
              </w:rPr>
              <w:t>Artículo 67. Límites generales.</w:t>
            </w:r>
          </w:p>
          <w:p w14:paraId="10490012" w14:textId="77777777" w:rsidR="006B1BE7" w:rsidRPr="00DA1136" w:rsidRDefault="006B1BE7" w:rsidP="00B5278C">
            <w:r w:rsidRPr="00DA1136">
              <w:t>Los fondos deben cumplir con los siguientes límites máximos:</w:t>
            </w:r>
          </w:p>
          <w:p w14:paraId="5B946EDB" w14:textId="77777777" w:rsidR="006B1BE7" w:rsidRPr="00DA1136" w:rsidRDefault="006B1BE7" w:rsidP="00B5278C"/>
          <w:p w14:paraId="686DA9DD" w14:textId="77777777" w:rsidR="006B1BE7" w:rsidRPr="00DA1136" w:rsidRDefault="006B1BE7" w:rsidP="00B5278C">
            <w:r w:rsidRPr="00DA1136">
              <w:t>a. En valores emitidos por el Sector Público local hasta el 60%.</w:t>
            </w:r>
          </w:p>
          <w:p w14:paraId="521A691D" w14:textId="77777777" w:rsidR="006B1BE7" w:rsidRPr="00DA1136" w:rsidRDefault="006B1BE7" w:rsidP="00B5278C"/>
          <w:p w14:paraId="5A3F519A" w14:textId="77777777" w:rsidR="006B1BE7" w:rsidRPr="00DA1136" w:rsidRDefault="006B1BE7" w:rsidP="00B5278C">
            <w:r w:rsidRPr="00DA1136">
              <w:t xml:space="preserve">b. En valores emitidos en el mercado </w:t>
            </w:r>
            <w:r w:rsidRPr="00DA1136">
              <w:lastRenderedPageBreak/>
              <w:t>extranjero hasta el 25%. Las inversiones en valores extranjeros podrán sobrepasar el límite del 25%, hasta el 50%, siempre que las entidades reguladas demuestren, mediante estudios técnicos, que las inversiones por realizar cumplen con las condiciones previstas en el artículo 62 de la Ley de Protección al Trabajador, de acuerdo con las disposiciones que para tal efecto dicte el superintendente mediante acuerdo.</w:t>
            </w:r>
          </w:p>
          <w:p w14:paraId="4A2A7981" w14:textId="77777777" w:rsidR="006B1BE7" w:rsidRPr="00DA1136" w:rsidRDefault="006B1BE7" w:rsidP="00B5278C">
            <w:r w:rsidRPr="00DA1136">
              <w:t>(…)”.</w:t>
            </w:r>
          </w:p>
        </w:tc>
      </w:tr>
      <w:tr w:rsidR="006B1BE7" w:rsidRPr="00DA1136" w14:paraId="4B3F425E" w14:textId="77777777" w:rsidTr="0084583A">
        <w:trPr>
          <w:gridAfter w:val="4"/>
          <w:wAfter w:w="6644" w:type="dxa"/>
        </w:trPr>
        <w:tc>
          <w:tcPr>
            <w:tcW w:w="2184" w:type="dxa"/>
          </w:tcPr>
          <w:p w14:paraId="7E9F054F" w14:textId="77777777" w:rsidR="006B1BE7" w:rsidRPr="00DA1136" w:rsidRDefault="006B1BE7" w:rsidP="00F72B57">
            <w:pPr>
              <w:rPr>
                <w:b/>
                <w:bCs/>
              </w:rPr>
            </w:pPr>
            <w:r w:rsidRPr="00DA1136">
              <w:lastRenderedPageBreak/>
              <w:t>“</w:t>
            </w:r>
            <w:r w:rsidRPr="00DA1136">
              <w:rPr>
                <w:b/>
                <w:bCs/>
              </w:rPr>
              <w:t>Artículo 68. Límites por tipo de instrumento.</w:t>
            </w:r>
          </w:p>
          <w:p w14:paraId="359B92D9" w14:textId="77777777" w:rsidR="006B1BE7" w:rsidRPr="00DA1136" w:rsidRDefault="006B1BE7" w:rsidP="00F72B57">
            <w:pPr>
              <w:rPr>
                <w:b/>
                <w:bCs/>
              </w:rPr>
            </w:pPr>
          </w:p>
          <w:p w14:paraId="2C5D5F15" w14:textId="77777777" w:rsidR="006B1BE7" w:rsidRPr="00DA1136" w:rsidRDefault="006B1BE7" w:rsidP="00F72B57">
            <w:r w:rsidRPr="00DA1136">
              <w:t>Los fondos deben cumplir con los siguientes límites máximos:</w:t>
            </w:r>
          </w:p>
          <w:p w14:paraId="151570B6" w14:textId="77777777" w:rsidR="006B1BE7" w:rsidRPr="00DA1136" w:rsidRDefault="006B1BE7" w:rsidP="00F72B57"/>
          <w:p w14:paraId="7291C5EA" w14:textId="77777777" w:rsidR="006B1BE7" w:rsidRPr="00DA1136" w:rsidRDefault="006B1BE7" w:rsidP="00E1127B">
            <w:r w:rsidRPr="00DA1136">
              <w:t>(…)</w:t>
            </w:r>
          </w:p>
          <w:p w14:paraId="5D628D01" w14:textId="77777777" w:rsidR="006B1BE7" w:rsidRPr="00DA1136" w:rsidRDefault="006B1BE7" w:rsidP="00F72B57">
            <w:pPr>
              <w:tabs>
                <w:tab w:val="left" w:pos="1056"/>
              </w:tabs>
              <w:jc w:val="both"/>
              <w:rPr>
                <w:rFonts w:ascii="Times New Roman" w:eastAsia="Times New Roman" w:hAnsi="Times New Roman" w:cs="Times New Roman"/>
                <w:bCs/>
                <w:sz w:val="24"/>
                <w:szCs w:val="24"/>
                <w:lang w:val="es-ES" w:eastAsia="es-ES"/>
              </w:rPr>
            </w:pPr>
          </w:p>
          <w:p w14:paraId="28C847E4" w14:textId="77777777" w:rsidR="006B1BE7" w:rsidRPr="00DA1136" w:rsidRDefault="006B1BE7" w:rsidP="00F72B57">
            <w:r w:rsidRPr="00DA1136">
              <w:t>b. Títulos representativos de propiedad:</w:t>
            </w:r>
          </w:p>
          <w:p w14:paraId="267AB837" w14:textId="77777777" w:rsidR="006B1BE7" w:rsidRPr="00DA1136" w:rsidRDefault="006B1BE7" w:rsidP="00F72B57"/>
          <w:p w14:paraId="4CF9ED45" w14:textId="77777777" w:rsidR="006B1BE7" w:rsidRPr="00DA1136" w:rsidRDefault="006B1BE7" w:rsidP="00F72B57">
            <w:r w:rsidRPr="00DA1136">
              <w:t>(…)</w:t>
            </w:r>
          </w:p>
          <w:p w14:paraId="2B10615C" w14:textId="77777777" w:rsidR="006B1BE7" w:rsidRPr="00DA1136" w:rsidRDefault="006B1BE7" w:rsidP="00F72B57"/>
          <w:p w14:paraId="2E73D27A" w14:textId="77777777" w:rsidR="006B1BE7" w:rsidRPr="00DA1136" w:rsidRDefault="006B1BE7" w:rsidP="00F72B57">
            <w:r w:rsidRPr="00DA1136">
              <w:t>ii. Hasta un 15% en instrumentos de nivel II.</w:t>
            </w:r>
          </w:p>
          <w:p w14:paraId="2C5E53CF" w14:textId="77777777" w:rsidR="006B1BE7" w:rsidRPr="00DA1136" w:rsidRDefault="006B1BE7" w:rsidP="00F72B57"/>
          <w:p w14:paraId="39C1FC99" w14:textId="77777777" w:rsidR="006B1BE7" w:rsidRPr="00DA1136" w:rsidRDefault="006B1BE7" w:rsidP="00F72B57">
            <w:r w:rsidRPr="00DA1136">
              <w:t>(…)’</w:t>
            </w:r>
          </w:p>
          <w:p w14:paraId="62044F99" w14:textId="77777777" w:rsidR="006B1BE7" w:rsidRPr="00DA1136" w:rsidRDefault="006B1BE7" w:rsidP="00F72B57"/>
          <w:p w14:paraId="5A6E8E80" w14:textId="77777777" w:rsidR="006B1BE7" w:rsidRPr="00DA1136" w:rsidRDefault="006B1BE7" w:rsidP="00F72B57">
            <w:r w:rsidRPr="00DA1136">
              <w:lastRenderedPageBreak/>
              <w:t>La ampliación del límite establecido en el artículo 67, literal b., podrá aplicar de manera proporcional a los límites definidos en este artículo para los instrumentos extranjeros del nivel I.”</w:t>
            </w:r>
          </w:p>
          <w:p w14:paraId="5E5DB03F" w14:textId="77777777" w:rsidR="006B1BE7" w:rsidRPr="00DA1136" w:rsidRDefault="006B1BE7" w:rsidP="00F72B57">
            <w:pPr>
              <w:rPr>
                <w:lang w:val="es-ES"/>
              </w:rPr>
            </w:pPr>
          </w:p>
        </w:tc>
      </w:tr>
      <w:tr w:rsidR="00DA1136" w:rsidRPr="00DA1136" w14:paraId="0FFC1E3D" w14:textId="77777777" w:rsidTr="0084583A">
        <w:tc>
          <w:tcPr>
            <w:tcW w:w="2200" w:type="dxa"/>
            <w:gridSpan w:val="2"/>
          </w:tcPr>
          <w:p w14:paraId="54E1F60D" w14:textId="77777777" w:rsidR="005352CF" w:rsidRPr="00DA1136" w:rsidRDefault="005352CF" w:rsidP="005352CF">
            <w:pPr>
              <w:rPr>
                <w:b/>
                <w:bCs/>
              </w:rPr>
            </w:pPr>
            <w:r w:rsidRPr="00DA1136">
              <w:rPr>
                <w:b/>
                <w:bCs/>
              </w:rPr>
              <w:lastRenderedPageBreak/>
              <w:t xml:space="preserve">Transitorio V. </w:t>
            </w:r>
          </w:p>
          <w:p w14:paraId="7BA92BC2" w14:textId="77777777" w:rsidR="005352CF" w:rsidRPr="00DA1136" w:rsidRDefault="005352CF" w:rsidP="005352CF">
            <w:r w:rsidRPr="00DA1136">
              <w:t>La obligatoriedad del uso de coberturas de tipo de cambio último establecida en el último párrafo del artículo 15, entra a regir seis meses después de la entrada en vigencia de la reforma.</w:t>
            </w:r>
          </w:p>
          <w:p w14:paraId="2400A5EB" w14:textId="77777777" w:rsidR="005352CF" w:rsidRPr="00DA1136" w:rsidRDefault="005352CF" w:rsidP="005352CF"/>
          <w:p w14:paraId="47E9E656" w14:textId="77777777" w:rsidR="0076517B" w:rsidRPr="00DA1136" w:rsidRDefault="0076517B" w:rsidP="005352CF"/>
        </w:tc>
        <w:tc>
          <w:tcPr>
            <w:tcW w:w="2248" w:type="dxa"/>
          </w:tcPr>
          <w:p w14:paraId="73365365" w14:textId="77777777" w:rsidR="0076517B" w:rsidRPr="00DA1136" w:rsidRDefault="005352CF" w:rsidP="005352CF">
            <w:pPr>
              <w:rPr>
                <w:b/>
                <w:bCs/>
              </w:rPr>
            </w:pPr>
            <w:r w:rsidRPr="00DA1136">
              <w:rPr>
                <w:b/>
                <w:bCs/>
              </w:rPr>
              <w:t>BNCR</w:t>
            </w:r>
          </w:p>
          <w:p w14:paraId="062A47F3" w14:textId="77777777" w:rsidR="005352CF" w:rsidRPr="00DA1136" w:rsidRDefault="005352CF" w:rsidP="005352CF">
            <w:r w:rsidRPr="00DA1136">
              <w:t>Debido a que este cambio implica realizar modificaciones a los sistemas de información de inversiones y de contabilidad, lo cuales no son proyectos considerados dentro de la planificación del año en curso. Para que el área de TI estime un tiempo de desarrollo, las Gerencias involucradas deben remitir a estudio y análisis el detalle de los requerimientos, los cuales no han sido conceptualizados; por lo anterior se considera que seis meses para aplicar estos cambios no es tiempo suficiente, por lo tanto se solicita considerar dar un plazo entre 12 y 24 meses después de la entrada en vigencia de la reforma.</w:t>
            </w:r>
          </w:p>
          <w:p w14:paraId="1F16EB4E" w14:textId="77777777" w:rsidR="003D0CAD" w:rsidRPr="00DA1136" w:rsidRDefault="003D0CAD" w:rsidP="005352CF"/>
          <w:p w14:paraId="4D4DC163" w14:textId="77777777" w:rsidR="003D0CAD" w:rsidRPr="00DA1136" w:rsidRDefault="003D0CAD" w:rsidP="005352CF">
            <w:pPr>
              <w:rPr>
                <w:b/>
                <w:bCs/>
              </w:rPr>
            </w:pPr>
            <w:r w:rsidRPr="00DA1136">
              <w:rPr>
                <w:b/>
                <w:bCs/>
              </w:rPr>
              <w:t>ACOP</w:t>
            </w:r>
          </w:p>
          <w:p w14:paraId="3B00D9B1" w14:textId="77777777" w:rsidR="003D0CAD" w:rsidRPr="00DA1136" w:rsidRDefault="003D0CAD" w:rsidP="003D0CAD">
            <w:r w:rsidRPr="00DA1136">
              <w:lastRenderedPageBreak/>
              <w:t xml:space="preserve">El transitorio V que se propone debería correr la misma suerte, que el artículo 15 que analizamos el acápite B, debería postergarse su aprobación hasta que </w:t>
            </w:r>
          </w:p>
          <w:p w14:paraId="2AAC3644" w14:textId="77777777" w:rsidR="003D0CAD" w:rsidRPr="00DA1136" w:rsidRDefault="003D0CAD" w:rsidP="003D0CAD">
            <w:r w:rsidRPr="00DA1136">
              <w:t>cuente con más elementos técnicos que permitan establecer un sistema de coberturas, que no sea un impuesto o un costo innecesario, con el que deba cargar los fondos</w:t>
            </w:r>
            <w:r w:rsidR="006E3619" w:rsidRPr="00DA1136">
              <w:t xml:space="preserve"> </w:t>
            </w:r>
            <w:r w:rsidRPr="00DA1136">
              <w:t>complementarios de pensiones y el FCL.</w:t>
            </w:r>
          </w:p>
          <w:p w14:paraId="2BAA95D0" w14:textId="77777777" w:rsidR="003D0CAD" w:rsidRPr="00DA1136" w:rsidRDefault="003D0CAD" w:rsidP="003D0CAD">
            <w:r w:rsidRPr="00DA1136">
              <w:t xml:space="preserve">Nuestras observaciones y aportes anteriores, se emiten sin perjuicio de que las Operadoras de Pensiones Complementarias hagan llegar directamente otras </w:t>
            </w:r>
          </w:p>
          <w:p w14:paraId="4A420E80" w14:textId="77777777" w:rsidR="003D0CAD" w:rsidRPr="00DA1136" w:rsidRDefault="003D0CAD" w:rsidP="003D0CAD">
            <w:r w:rsidRPr="00DA1136">
              <w:t>observaciones a la propuesta de reforma al reglamento.</w:t>
            </w:r>
          </w:p>
          <w:p w14:paraId="63331858" w14:textId="77777777" w:rsidR="009819A9" w:rsidRPr="00DA1136" w:rsidRDefault="009819A9" w:rsidP="003D0CAD"/>
          <w:p w14:paraId="3A39CBA0" w14:textId="77777777" w:rsidR="009819A9" w:rsidRPr="00DA1136" w:rsidRDefault="009819A9" w:rsidP="003D0CAD">
            <w:pPr>
              <w:rPr>
                <w:b/>
                <w:bCs/>
              </w:rPr>
            </w:pPr>
            <w:r w:rsidRPr="00DA1136">
              <w:rPr>
                <w:b/>
                <w:bCs/>
              </w:rPr>
              <w:t>Vida Plena, OPC</w:t>
            </w:r>
          </w:p>
          <w:p w14:paraId="564582EE" w14:textId="77777777" w:rsidR="009819A9" w:rsidRPr="00DA1136" w:rsidRDefault="009819A9" w:rsidP="009819A9">
            <w:r w:rsidRPr="00DA1136">
              <w:t xml:space="preserve">Consistente con lo indicado en nuestras observaciones para la propuesta de modificación del artículo 15, se reitera que no estamos de acuerdo con la obligación de tomar coberturas de tipo de cambio. No obstante, el plazo propuesto resulta desde nuestro concepto antojadizo, al menos con la </w:t>
            </w:r>
            <w:r w:rsidRPr="00DA1136">
              <w:lastRenderedPageBreak/>
              <w:t>información que mantenemos, ya que desconocemos si existirán oferentes, pero sobre todo porque implica preparación a nivel de sistemas y formación, que son requisitos dispuestos en el RGA, de manera que esta norma, desde nuestra perspectiva, también resulta contradictoria con el RGA.</w:t>
            </w:r>
          </w:p>
          <w:p w14:paraId="43BCBB14" w14:textId="77777777" w:rsidR="00152FEF" w:rsidRPr="00DA1136" w:rsidRDefault="00152FEF" w:rsidP="009819A9"/>
          <w:p w14:paraId="3A61C735" w14:textId="77777777" w:rsidR="0034139A" w:rsidRPr="00DA1136" w:rsidRDefault="0034139A" w:rsidP="009819A9">
            <w:pPr>
              <w:rPr>
                <w:b/>
                <w:bCs/>
              </w:rPr>
            </w:pPr>
            <w:r w:rsidRPr="00DA1136">
              <w:rPr>
                <w:b/>
                <w:bCs/>
              </w:rPr>
              <w:t>Fondo ICE</w:t>
            </w:r>
          </w:p>
          <w:p w14:paraId="54240708" w14:textId="77777777" w:rsidR="00ED4846" w:rsidRPr="00DA1136" w:rsidRDefault="00ED4846" w:rsidP="00ED4846">
            <w:r w:rsidRPr="00DA1136">
              <w:t>El transitorio V propuesto también establece un plazo relativamente corto para la</w:t>
            </w:r>
            <w:r w:rsidR="005A55BB" w:rsidRPr="00DA1136">
              <w:t xml:space="preserve"> </w:t>
            </w:r>
            <w:r w:rsidRPr="00DA1136">
              <w:t>implementación de los párrafos que estarían agregando al artículo 15 del</w:t>
            </w:r>
          </w:p>
          <w:p w14:paraId="052EA264" w14:textId="77777777" w:rsidR="00ED4846" w:rsidRPr="00DA1136" w:rsidRDefault="00ED4846" w:rsidP="00ED4846">
            <w:r w:rsidRPr="00DA1136">
              <w:t xml:space="preserve">Reglamento de Gestión de Activos, lo cual prácticamente estaría forzando la </w:t>
            </w:r>
          </w:p>
          <w:p w14:paraId="691879B1" w14:textId="77777777" w:rsidR="00ED4846" w:rsidRPr="00DA1136" w:rsidRDefault="00ED4846" w:rsidP="00ED4846">
            <w:r w:rsidRPr="00DA1136">
              <w:t>creación de un mercado de</w:t>
            </w:r>
            <w:r w:rsidR="006E3619" w:rsidRPr="00DA1136">
              <w:t xml:space="preserve"> </w:t>
            </w:r>
            <w:r w:rsidRPr="00DA1136">
              <w:t xml:space="preserve">coberturas cambiarias, la cual tendría dentro de </w:t>
            </w:r>
          </w:p>
          <w:p w14:paraId="6B01714F" w14:textId="77777777" w:rsidR="00ED4846" w:rsidRPr="00DA1136" w:rsidRDefault="00ED4846" w:rsidP="00ED4846">
            <w:r w:rsidRPr="00DA1136">
              <w:t xml:space="preserve">sus efectos adversos, la contratación de coberturas por parte de los fondos de </w:t>
            </w:r>
          </w:p>
          <w:p w14:paraId="3164E720" w14:textId="77777777" w:rsidR="00ED4846" w:rsidRPr="00DA1136" w:rsidRDefault="00ED4846" w:rsidP="00ED4846">
            <w:r w:rsidRPr="00DA1136">
              <w:t xml:space="preserve">pensiones con primas excesivas dadas las características del mercado de </w:t>
            </w:r>
          </w:p>
          <w:p w14:paraId="0703812F" w14:textId="77777777" w:rsidR="00ED4846" w:rsidRPr="00DA1136" w:rsidRDefault="00ED4846" w:rsidP="00ED4846">
            <w:r w:rsidRPr="00DA1136">
              <w:t xml:space="preserve">divisas de nuestro país, lo cual se traduciría en mayores costos y por ende </w:t>
            </w:r>
          </w:p>
          <w:p w14:paraId="2C7F9149" w14:textId="77777777" w:rsidR="0034139A" w:rsidRPr="00DA1136" w:rsidRDefault="00ED4846" w:rsidP="00ED4846">
            <w:r w:rsidRPr="00DA1136">
              <w:lastRenderedPageBreak/>
              <w:t>menores</w:t>
            </w:r>
            <w:r w:rsidR="0084612D" w:rsidRPr="00DA1136">
              <w:t xml:space="preserve"> </w:t>
            </w:r>
            <w:r w:rsidRPr="00DA1136">
              <w:t>rendimientos para los afiliados a cada régimen.</w:t>
            </w:r>
          </w:p>
        </w:tc>
        <w:tc>
          <w:tcPr>
            <w:tcW w:w="2196" w:type="dxa"/>
          </w:tcPr>
          <w:p w14:paraId="34F5739D" w14:textId="77777777" w:rsidR="00ED3E9E" w:rsidRPr="00DA1136" w:rsidRDefault="00ED3E9E" w:rsidP="00ED3E9E">
            <w:pPr>
              <w:rPr>
                <w:b/>
                <w:bCs/>
              </w:rPr>
            </w:pPr>
            <w:r w:rsidRPr="00DA1136">
              <w:rPr>
                <w:b/>
                <w:bCs/>
              </w:rPr>
              <w:lastRenderedPageBreak/>
              <w:t>BNCR/SUPEN</w:t>
            </w:r>
          </w:p>
          <w:p w14:paraId="47611C8F" w14:textId="77777777" w:rsidR="00ED3E9E" w:rsidRPr="00013EAD" w:rsidRDefault="009F4FBC" w:rsidP="00ED3E9E">
            <w:r w:rsidRPr="00013EAD">
              <w:t xml:space="preserve">Se está planteando un plazo de </w:t>
            </w:r>
            <w:r w:rsidR="00013EAD" w:rsidRPr="00013EAD">
              <w:t>18 meses</w:t>
            </w:r>
            <w:r w:rsidRPr="00013EAD">
              <w:t xml:space="preserve"> año.</w:t>
            </w:r>
          </w:p>
          <w:p w14:paraId="73918192" w14:textId="77777777" w:rsidR="00DA1136" w:rsidRPr="00DA1136" w:rsidRDefault="00DA1136" w:rsidP="00ED3E9E"/>
          <w:p w14:paraId="3024C643" w14:textId="77777777" w:rsidR="007D04D3" w:rsidRPr="00DA1136" w:rsidRDefault="007D04D3" w:rsidP="00ED3E9E">
            <w:r w:rsidRPr="00DA1136">
              <w:t>Se corrige el número de transitorio.</w:t>
            </w:r>
          </w:p>
          <w:p w14:paraId="0DD6B483" w14:textId="77777777" w:rsidR="0076517B" w:rsidRPr="00DA1136" w:rsidRDefault="0076517B" w:rsidP="00922E2C">
            <w:pPr>
              <w:jc w:val="center"/>
            </w:pPr>
          </w:p>
          <w:p w14:paraId="00D7B39A" w14:textId="77777777" w:rsidR="005B1281" w:rsidRPr="00DA1136" w:rsidRDefault="005B1281" w:rsidP="00922E2C">
            <w:pPr>
              <w:jc w:val="center"/>
            </w:pPr>
          </w:p>
          <w:p w14:paraId="6E11BC49" w14:textId="77777777" w:rsidR="005B1281" w:rsidRPr="00DA1136" w:rsidRDefault="005B1281" w:rsidP="00922E2C">
            <w:pPr>
              <w:jc w:val="center"/>
            </w:pPr>
          </w:p>
          <w:p w14:paraId="39713634" w14:textId="77777777" w:rsidR="005B1281" w:rsidRPr="00DA1136" w:rsidRDefault="005B1281" w:rsidP="00922E2C">
            <w:pPr>
              <w:jc w:val="center"/>
            </w:pPr>
          </w:p>
          <w:p w14:paraId="47394DAB" w14:textId="77777777" w:rsidR="005B1281" w:rsidRPr="00DA1136" w:rsidRDefault="005B1281" w:rsidP="00922E2C">
            <w:pPr>
              <w:jc w:val="center"/>
            </w:pPr>
          </w:p>
          <w:p w14:paraId="7C657EB8" w14:textId="77777777" w:rsidR="005B1281" w:rsidRPr="00DA1136" w:rsidRDefault="005B1281" w:rsidP="00922E2C">
            <w:pPr>
              <w:jc w:val="center"/>
            </w:pPr>
          </w:p>
          <w:p w14:paraId="5CBB64BC" w14:textId="77777777" w:rsidR="005B1281" w:rsidRPr="00DA1136" w:rsidRDefault="005B1281" w:rsidP="00922E2C">
            <w:pPr>
              <w:jc w:val="center"/>
            </w:pPr>
          </w:p>
          <w:p w14:paraId="1C145EEF" w14:textId="77777777" w:rsidR="005B1281" w:rsidRPr="00DA1136" w:rsidRDefault="005B1281" w:rsidP="00922E2C">
            <w:pPr>
              <w:jc w:val="center"/>
            </w:pPr>
          </w:p>
          <w:p w14:paraId="548ABA1C" w14:textId="77777777" w:rsidR="005B1281" w:rsidRPr="00DA1136" w:rsidRDefault="005B1281" w:rsidP="00922E2C">
            <w:pPr>
              <w:jc w:val="center"/>
            </w:pPr>
          </w:p>
          <w:p w14:paraId="6912A25B" w14:textId="77777777" w:rsidR="005B1281" w:rsidRPr="00DA1136" w:rsidRDefault="005B1281" w:rsidP="00922E2C">
            <w:pPr>
              <w:jc w:val="center"/>
            </w:pPr>
          </w:p>
          <w:p w14:paraId="0AEB6344" w14:textId="77777777" w:rsidR="005B1281" w:rsidRPr="00DA1136" w:rsidRDefault="005B1281" w:rsidP="00922E2C">
            <w:pPr>
              <w:jc w:val="center"/>
            </w:pPr>
          </w:p>
          <w:p w14:paraId="034BD1E4" w14:textId="77777777" w:rsidR="005B1281" w:rsidRPr="00DA1136" w:rsidRDefault="005B1281" w:rsidP="00922E2C">
            <w:pPr>
              <w:jc w:val="center"/>
            </w:pPr>
          </w:p>
          <w:p w14:paraId="0EBFD56C" w14:textId="77777777" w:rsidR="005B1281" w:rsidRPr="00DA1136" w:rsidRDefault="005B1281" w:rsidP="00922E2C">
            <w:pPr>
              <w:jc w:val="center"/>
            </w:pPr>
          </w:p>
          <w:p w14:paraId="706B4F8C" w14:textId="77777777" w:rsidR="005B1281" w:rsidRPr="00DA1136" w:rsidRDefault="005B1281" w:rsidP="00922E2C">
            <w:pPr>
              <w:jc w:val="center"/>
            </w:pPr>
          </w:p>
          <w:p w14:paraId="5FD7B15B" w14:textId="77777777" w:rsidR="005B1281" w:rsidRPr="00DA1136" w:rsidRDefault="005B1281" w:rsidP="00922E2C">
            <w:pPr>
              <w:jc w:val="center"/>
            </w:pPr>
          </w:p>
          <w:p w14:paraId="70BBE7DE" w14:textId="77777777" w:rsidR="005B1281" w:rsidRPr="00DA1136" w:rsidRDefault="005B1281" w:rsidP="00922E2C">
            <w:pPr>
              <w:jc w:val="center"/>
            </w:pPr>
          </w:p>
          <w:p w14:paraId="73BB1A7E" w14:textId="77777777" w:rsidR="005B1281" w:rsidRPr="00DA1136" w:rsidRDefault="005B1281" w:rsidP="00922E2C">
            <w:pPr>
              <w:jc w:val="center"/>
            </w:pPr>
          </w:p>
          <w:p w14:paraId="6BF454DF" w14:textId="77777777" w:rsidR="005B1281" w:rsidRPr="00DA1136" w:rsidRDefault="005B1281" w:rsidP="00922E2C">
            <w:pPr>
              <w:jc w:val="center"/>
            </w:pPr>
          </w:p>
          <w:p w14:paraId="1768EE05" w14:textId="77777777" w:rsidR="005B1281" w:rsidRPr="00DA1136" w:rsidRDefault="005B1281" w:rsidP="00922E2C">
            <w:pPr>
              <w:jc w:val="center"/>
            </w:pPr>
          </w:p>
          <w:p w14:paraId="2F7FE4CC" w14:textId="77777777" w:rsidR="005B1281" w:rsidRPr="00DA1136" w:rsidRDefault="005B1281" w:rsidP="00922E2C">
            <w:pPr>
              <w:jc w:val="center"/>
            </w:pPr>
          </w:p>
          <w:p w14:paraId="58793BAD" w14:textId="77777777" w:rsidR="005B1281" w:rsidRPr="00DA1136" w:rsidRDefault="005B1281" w:rsidP="00922E2C">
            <w:pPr>
              <w:jc w:val="center"/>
            </w:pPr>
          </w:p>
          <w:p w14:paraId="3DF34652" w14:textId="77777777" w:rsidR="005B1281" w:rsidRPr="00DA1136" w:rsidRDefault="005B1281" w:rsidP="00922E2C">
            <w:pPr>
              <w:jc w:val="center"/>
            </w:pPr>
          </w:p>
          <w:p w14:paraId="38DD95E6" w14:textId="77777777" w:rsidR="005B1281" w:rsidRPr="00DA1136" w:rsidRDefault="005B1281" w:rsidP="00922E2C">
            <w:pPr>
              <w:jc w:val="center"/>
            </w:pPr>
          </w:p>
          <w:p w14:paraId="27CC77CA" w14:textId="77777777" w:rsidR="005B1281" w:rsidRPr="00DA1136" w:rsidRDefault="005B1281" w:rsidP="00922E2C">
            <w:pPr>
              <w:jc w:val="center"/>
            </w:pPr>
          </w:p>
          <w:p w14:paraId="6A1C550D" w14:textId="77777777" w:rsidR="00523A66" w:rsidRPr="00DA1136" w:rsidRDefault="00523A66" w:rsidP="005B1281">
            <w:pPr>
              <w:rPr>
                <w:b/>
                <w:bCs/>
              </w:rPr>
            </w:pPr>
          </w:p>
          <w:p w14:paraId="5BF7B74D" w14:textId="77777777" w:rsidR="009F4FBC" w:rsidRPr="00DA1136" w:rsidRDefault="009F4FBC" w:rsidP="005B1281">
            <w:pPr>
              <w:rPr>
                <w:b/>
                <w:bCs/>
              </w:rPr>
            </w:pPr>
          </w:p>
          <w:p w14:paraId="493FEE2C" w14:textId="77777777" w:rsidR="009F4FBC" w:rsidRPr="00DA1136" w:rsidRDefault="009F4FBC" w:rsidP="005B1281">
            <w:pPr>
              <w:rPr>
                <w:b/>
                <w:bCs/>
              </w:rPr>
            </w:pPr>
          </w:p>
          <w:p w14:paraId="34A0E8B9" w14:textId="77777777" w:rsidR="009F4FBC" w:rsidRPr="00DA1136" w:rsidRDefault="009F4FBC" w:rsidP="005B1281">
            <w:pPr>
              <w:rPr>
                <w:b/>
                <w:bCs/>
              </w:rPr>
            </w:pPr>
          </w:p>
          <w:p w14:paraId="1C0CD9C6" w14:textId="77777777" w:rsidR="005B1281" w:rsidRPr="00DA1136" w:rsidRDefault="005B1281" w:rsidP="005B1281">
            <w:pPr>
              <w:rPr>
                <w:b/>
                <w:bCs/>
              </w:rPr>
            </w:pPr>
            <w:r w:rsidRPr="00DA1136">
              <w:rPr>
                <w:b/>
                <w:bCs/>
              </w:rPr>
              <w:t>ACOP</w:t>
            </w:r>
            <w:r w:rsidR="006B7C81" w:rsidRPr="00DA1136">
              <w:rPr>
                <w:b/>
                <w:bCs/>
              </w:rPr>
              <w:t>/</w:t>
            </w:r>
            <w:r w:rsidRPr="00DA1136">
              <w:rPr>
                <w:b/>
                <w:bCs/>
              </w:rPr>
              <w:t>SUPEN</w:t>
            </w:r>
          </w:p>
          <w:p w14:paraId="340B4F3B" w14:textId="77777777" w:rsidR="006B7C81" w:rsidRPr="00DA1136" w:rsidRDefault="006B7C81" w:rsidP="005B1281">
            <w:r w:rsidRPr="00DA1136">
              <w:lastRenderedPageBreak/>
              <w:t>Tómese nota de los comentarios a las consultas relacionadas, atrás.</w:t>
            </w:r>
          </w:p>
          <w:p w14:paraId="30EB5D28" w14:textId="77777777" w:rsidR="005B1281" w:rsidRPr="00DA1136" w:rsidRDefault="005B1281" w:rsidP="00922E2C">
            <w:pPr>
              <w:jc w:val="center"/>
            </w:pPr>
          </w:p>
          <w:p w14:paraId="50618F63" w14:textId="77777777" w:rsidR="009738DD" w:rsidRPr="00DA1136" w:rsidRDefault="009738DD" w:rsidP="00922E2C">
            <w:pPr>
              <w:jc w:val="center"/>
            </w:pPr>
          </w:p>
          <w:p w14:paraId="49C6AA39" w14:textId="77777777" w:rsidR="009738DD" w:rsidRPr="00DA1136" w:rsidRDefault="009738DD" w:rsidP="00922E2C">
            <w:pPr>
              <w:jc w:val="center"/>
            </w:pPr>
          </w:p>
          <w:p w14:paraId="657D1DB4" w14:textId="77777777" w:rsidR="009738DD" w:rsidRPr="00DA1136" w:rsidRDefault="009738DD" w:rsidP="00922E2C">
            <w:pPr>
              <w:jc w:val="center"/>
            </w:pPr>
          </w:p>
          <w:p w14:paraId="0BE969CC" w14:textId="77777777" w:rsidR="009738DD" w:rsidRPr="00DA1136" w:rsidRDefault="009738DD" w:rsidP="00922E2C">
            <w:pPr>
              <w:jc w:val="center"/>
            </w:pPr>
          </w:p>
          <w:p w14:paraId="148C5DB3" w14:textId="77777777" w:rsidR="009738DD" w:rsidRPr="00DA1136" w:rsidRDefault="009738DD" w:rsidP="00922E2C">
            <w:pPr>
              <w:jc w:val="center"/>
            </w:pPr>
          </w:p>
          <w:p w14:paraId="67F36468" w14:textId="77777777" w:rsidR="009738DD" w:rsidRPr="00DA1136" w:rsidRDefault="009738DD" w:rsidP="00922E2C">
            <w:pPr>
              <w:jc w:val="center"/>
            </w:pPr>
          </w:p>
          <w:p w14:paraId="7F5FD573" w14:textId="77777777" w:rsidR="009738DD" w:rsidRPr="00DA1136" w:rsidRDefault="009738DD" w:rsidP="00922E2C">
            <w:pPr>
              <w:jc w:val="center"/>
            </w:pPr>
          </w:p>
          <w:p w14:paraId="1A8C9DA8" w14:textId="77777777" w:rsidR="009738DD" w:rsidRPr="00DA1136" w:rsidRDefault="009738DD" w:rsidP="00922E2C">
            <w:pPr>
              <w:jc w:val="center"/>
            </w:pPr>
          </w:p>
          <w:p w14:paraId="1F88F9B2" w14:textId="77777777" w:rsidR="009738DD" w:rsidRPr="00DA1136" w:rsidRDefault="009738DD" w:rsidP="00922E2C">
            <w:pPr>
              <w:jc w:val="center"/>
            </w:pPr>
          </w:p>
          <w:p w14:paraId="64DFD5F6" w14:textId="77777777" w:rsidR="009738DD" w:rsidRPr="00DA1136" w:rsidRDefault="009738DD" w:rsidP="00922E2C">
            <w:pPr>
              <w:jc w:val="center"/>
            </w:pPr>
          </w:p>
          <w:p w14:paraId="7A203653" w14:textId="77777777" w:rsidR="009738DD" w:rsidRPr="00DA1136" w:rsidRDefault="009738DD" w:rsidP="00922E2C">
            <w:pPr>
              <w:jc w:val="center"/>
            </w:pPr>
          </w:p>
          <w:p w14:paraId="40D106F0" w14:textId="77777777" w:rsidR="009738DD" w:rsidRPr="00DA1136" w:rsidRDefault="009738DD" w:rsidP="00922E2C">
            <w:pPr>
              <w:jc w:val="center"/>
            </w:pPr>
          </w:p>
          <w:p w14:paraId="2E03F789" w14:textId="77777777" w:rsidR="009738DD" w:rsidRPr="00DA1136" w:rsidRDefault="009738DD" w:rsidP="00922E2C">
            <w:pPr>
              <w:jc w:val="center"/>
            </w:pPr>
          </w:p>
          <w:p w14:paraId="693C0E25" w14:textId="77777777" w:rsidR="009738DD" w:rsidRPr="00DA1136" w:rsidRDefault="009738DD" w:rsidP="00922E2C">
            <w:pPr>
              <w:jc w:val="center"/>
            </w:pPr>
          </w:p>
          <w:p w14:paraId="3FF7974E" w14:textId="77777777" w:rsidR="009738DD" w:rsidRPr="00DA1136" w:rsidRDefault="009738DD" w:rsidP="00922E2C">
            <w:pPr>
              <w:jc w:val="center"/>
            </w:pPr>
          </w:p>
          <w:p w14:paraId="18745A77" w14:textId="77777777" w:rsidR="009738DD" w:rsidRPr="00DA1136" w:rsidRDefault="009738DD" w:rsidP="00922E2C">
            <w:pPr>
              <w:jc w:val="center"/>
            </w:pPr>
          </w:p>
          <w:p w14:paraId="42BF3383" w14:textId="77777777" w:rsidR="009738DD" w:rsidRPr="00DA1136" w:rsidRDefault="009738DD" w:rsidP="00922E2C">
            <w:pPr>
              <w:jc w:val="center"/>
            </w:pPr>
          </w:p>
          <w:p w14:paraId="3C280FD7" w14:textId="77777777" w:rsidR="009738DD" w:rsidRPr="00DA1136" w:rsidRDefault="009738DD" w:rsidP="00922E2C">
            <w:pPr>
              <w:jc w:val="center"/>
            </w:pPr>
          </w:p>
          <w:p w14:paraId="67F4907B" w14:textId="77777777" w:rsidR="009738DD" w:rsidRPr="00DA1136" w:rsidRDefault="009738DD" w:rsidP="00922E2C">
            <w:pPr>
              <w:jc w:val="center"/>
            </w:pPr>
          </w:p>
          <w:p w14:paraId="2C57B5AC" w14:textId="77777777" w:rsidR="009738DD" w:rsidRPr="00DA1136" w:rsidRDefault="009738DD" w:rsidP="00922E2C">
            <w:pPr>
              <w:jc w:val="center"/>
            </w:pPr>
          </w:p>
          <w:p w14:paraId="3BE14C0B" w14:textId="77777777" w:rsidR="009738DD" w:rsidRPr="00DA1136" w:rsidRDefault="009738DD" w:rsidP="00922E2C">
            <w:pPr>
              <w:jc w:val="center"/>
            </w:pPr>
          </w:p>
          <w:p w14:paraId="4D2F238D" w14:textId="77777777" w:rsidR="009738DD" w:rsidRPr="00DA1136" w:rsidRDefault="009738DD" w:rsidP="00922E2C">
            <w:pPr>
              <w:jc w:val="center"/>
            </w:pPr>
          </w:p>
          <w:p w14:paraId="2473C518" w14:textId="77777777" w:rsidR="009738DD" w:rsidRPr="00DA1136" w:rsidRDefault="009738DD" w:rsidP="00922E2C">
            <w:pPr>
              <w:jc w:val="center"/>
            </w:pPr>
          </w:p>
          <w:p w14:paraId="085D00A4" w14:textId="77777777" w:rsidR="009738DD" w:rsidRPr="00DA1136" w:rsidRDefault="009738DD" w:rsidP="00922E2C">
            <w:pPr>
              <w:jc w:val="center"/>
            </w:pPr>
          </w:p>
          <w:p w14:paraId="72EE3BA9" w14:textId="77777777" w:rsidR="009738DD" w:rsidRPr="00DA1136" w:rsidRDefault="009738DD" w:rsidP="00922E2C">
            <w:pPr>
              <w:jc w:val="center"/>
            </w:pPr>
          </w:p>
          <w:p w14:paraId="3873C96B" w14:textId="77777777" w:rsidR="009738DD" w:rsidRPr="00DA1136" w:rsidRDefault="009738DD" w:rsidP="00922E2C">
            <w:pPr>
              <w:jc w:val="center"/>
            </w:pPr>
          </w:p>
          <w:p w14:paraId="4D02CDA2" w14:textId="77777777" w:rsidR="00152FEF" w:rsidRPr="00DA1136" w:rsidRDefault="00152FEF" w:rsidP="009738DD">
            <w:pPr>
              <w:rPr>
                <w:b/>
                <w:bCs/>
              </w:rPr>
            </w:pPr>
          </w:p>
          <w:p w14:paraId="7F97AFCA" w14:textId="77777777" w:rsidR="009738DD" w:rsidRPr="00DA1136" w:rsidRDefault="009738DD" w:rsidP="009738DD">
            <w:pPr>
              <w:rPr>
                <w:b/>
                <w:bCs/>
              </w:rPr>
            </w:pPr>
            <w:r w:rsidRPr="00DA1136">
              <w:rPr>
                <w:b/>
                <w:bCs/>
              </w:rPr>
              <w:t>Vida Plena, OPC/SUPEN</w:t>
            </w:r>
          </w:p>
          <w:p w14:paraId="793FE6D1" w14:textId="77777777" w:rsidR="009738DD" w:rsidRPr="00DA1136" w:rsidRDefault="009738DD" w:rsidP="009738DD">
            <w:r w:rsidRPr="00DA1136">
              <w:t>Tómese nota de los comentarios a las consultas relacionadas, atrás.</w:t>
            </w:r>
          </w:p>
          <w:p w14:paraId="2386EBAB" w14:textId="77777777" w:rsidR="009738DD" w:rsidRPr="00DA1136" w:rsidRDefault="009738DD" w:rsidP="009738DD"/>
          <w:p w14:paraId="0A0BCFD3" w14:textId="77777777" w:rsidR="00062885" w:rsidRPr="00DA1136" w:rsidRDefault="00062885" w:rsidP="009738DD"/>
          <w:p w14:paraId="023076D2" w14:textId="77777777" w:rsidR="00062885" w:rsidRPr="00DA1136" w:rsidRDefault="00062885" w:rsidP="009738DD"/>
          <w:p w14:paraId="184B0D5D" w14:textId="77777777" w:rsidR="00062885" w:rsidRPr="00DA1136" w:rsidRDefault="00062885" w:rsidP="009738DD"/>
          <w:p w14:paraId="124C6FAC" w14:textId="77777777" w:rsidR="00062885" w:rsidRPr="00DA1136" w:rsidRDefault="00062885" w:rsidP="009738DD"/>
          <w:p w14:paraId="1964DD86" w14:textId="77777777" w:rsidR="00062885" w:rsidRPr="00DA1136" w:rsidRDefault="00062885" w:rsidP="009738DD"/>
          <w:p w14:paraId="4D930E75" w14:textId="77777777" w:rsidR="00062885" w:rsidRPr="00DA1136" w:rsidRDefault="00062885" w:rsidP="009738DD"/>
          <w:p w14:paraId="1D9E81DC" w14:textId="77777777" w:rsidR="00062885" w:rsidRPr="00DA1136" w:rsidRDefault="00062885" w:rsidP="009738DD"/>
          <w:p w14:paraId="64E8A937" w14:textId="77777777" w:rsidR="00062885" w:rsidRPr="00DA1136" w:rsidRDefault="00062885" w:rsidP="009738DD"/>
          <w:p w14:paraId="4CB08A15" w14:textId="77777777" w:rsidR="00062885" w:rsidRPr="00DA1136" w:rsidRDefault="00062885" w:rsidP="009738DD"/>
          <w:p w14:paraId="2BAE1F12" w14:textId="77777777" w:rsidR="00062885" w:rsidRPr="00DA1136" w:rsidRDefault="00062885" w:rsidP="009738DD"/>
          <w:p w14:paraId="51EACE67" w14:textId="77777777" w:rsidR="00062885" w:rsidRPr="00DA1136" w:rsidRDefault="00062885" w:rsidP="009738DD"/>
          <w:p w14:paraId="37FD2F98" w14:textId="77777777" w:rsidR="00062885" w:rsidRPr="00DA1136" w:rsidRDefault="00062885" w:rsidP="009738DD"/>
          <w:p w14:paraId="07179C76" w14:textId="77777777" w:rsidR="00062885" w:rsidRPr="00DA1136" w:rsidRDefault="00062885" w:rsidP="009738DD"/>
          <w:p w14:paraId="2FD9FDDC" w14:textId="77777777" w:rsidR="00062885" w:rsidRPr="00DA1136" w:rsidRDefault="00062885" w:rsidP="009738DD"/>
          <w:p w14:paraId="58ECB417" w14:textId="77777777" w:rsidR="00062885" w:rsidRPr="00DA1136" w:rsidRDefault="00062885" w:rsidP="009738DD"/>
          <w:p w14:paraId="0BC5C806" w14:textId="77777777" w:rsidR="00062885" w:rsidRPr="00DA1136" w:rsidRDefault="00062885" w:rsidP="009738DD"/>
          <w:p w14:paraId="3D9756B6" w14:textId="77777777" w:rsidR="00062885" w:rsidRPr="00DA1136" w:rsidRDefault="00062885" w:rsidP="009738DD"/>
          <w:p w14:paraId="71E6575C" w14:textId="77777777" w:rsidR="00062885" w:rsidRPr="00DA1136" w:rsidRDefault="00062885" w:rsidP="009738DD"/>
          <w:p w14:paraId="2CB25D0F" w14:textId="77777777" w:rsidR="00062885" w:rsidRPr="00DA1136" w:rsidRDefault="00062885" w:rsidP="009738DD"/>
          <w:p w14:paraId="51A8CD02" w14:textId="77777777" w:rsidR="00062885" w:rsidRPr="00DA1136" w:rsidRDefault="00062885" w:rsidP="009738DD"/>
          <w:p w14:paraId="53CDA748" w14:textId="77777777" w:rsidR="00062885" w:rsidRPr="00DA1136" w:rsidRDefault="00062885" w:rsidP="009738DD"/>
          <w:p w14:paraId="13976208" w14:textId="77777777" w:rsidR="00062885" w:rsidRDefault="00062885" w:rsidP="009738DD"/>
          <w:p w14:paraId="31987D76" w14:textId="77777777" w:rsidR="00F562BD" w:rsidRDefault="00F562BD" w:rsidP="009738DD"/>
          <w:p w14:paraId="4211E651" w14:textId="77777777" w:rsidR="00F562BD" w:rsidRPr="00DA1136" w:rsidRDefault="00F562BD" w:rsidP="009738DD"/>
          <w:p w14:paraId="5A9A159B" w14:textId="77777777" w:rsidR="00062885" w:rsidRPr="00DA1136" w:rsidRDefault="00062885" w:rsidP="00062885">
            <w:pPr>
              <w:rPr>
                <w:b/>
                <w:bCs/>
              </w:rPr>
            </w:pPr>
            <w:r w:rsidRPr="00DA1136">
              <w:rPr>
                <w:b/>
                <w:bCs/>
              </w:rPr>
              <w:t>Fondo ICE/SUPEN</w:t>
            </w:r>
          </w:p>
          <w:p w14:paraId="643BBD50" w14:textId="77777777" w:rsidR="00062885" w:rsidRPr="00DA1136" w:rsidRDefault="00062885" w:rsidP="00062885">
            <w:r w:rsidRPr="00DA1136">
              <w:t>Tómese nota de los comentarios a las consultas relacionadas, atrás.</w:t>
            </w:r>
          </w:p>
          <w:p w14:paraId="62DA9661" w14:textId="77777777" w:rsidR="00062885" w:rsidRPr="00DA1136" w:rsidRDefault="00062885" w:rsidP="00062885">
            <w:pPr>
              <w:rPr>
                <w:b/>
                <w:bCs/>
              </w:rPr>
            </w:pPr>
          </w:p>
          <w:p w14:paraId="76C7EBCA" w14:textId="77777777" w:rsidR="00062885" w:rsidRPr="00DA1136" w:rsidRDefault="00062885" w:rsidP="009738DD"/>
        </w:tc>
        <w:tc>
          <w:tcPr>
            <w:tcW w:w="2184" w:type="dxa"/>
          </w:tcPr>
          <w:p w14:paraId="6EAD9B71" w14:textId="77777777" w:rsidR="007D04D3" w:rsidRPr="00C05EBB" w:rsidRDefault="007D04D3" w:rsidP="007D04D3">
            <w:pPr>
              <w:rPr>
                <w:b/>
                <w:bCs/>
              </w:rPr>
            </w:pPr>
            <w:r w:rsidRPr="00C05EBB">
              <w:rPr>
                <w:b/>
                <w:bCs/>
              </w:rPr>
              <w:lastRenderedPageBreak/>
              <w:t xml:space="preserve">Transitorio VI. </w:t>
            </w:r>
          </w:p>
          <w:p w14:paraId="15313005" w14:textId="77777777" w:rsidR="007D04D3" w:rsidRPr="00DA1136" w:rsidRDefault="007D04D3" w:rsidP="007D04D3">
            <w:r w:rsidRPr="00DA1136">
              <w:t xml:space="preserve">La obligatoriedad del uso de coberturas de tipo de cambio último establecida en los dos últimos párrafos del artículo 15, entrará a regir </w:t>
            </w:r>
            <w:r w:rsidR="002C432B">
              <w:t>dieciocho</w:t>
            </w:r>
            <w:r w:rsidR="00BF189D">
              <w:t xml:space="preserve"> meses</w:t>
            </w:r>
            <w:r w:rsidRPr="00DA1136">
              <w:t xml:space="preserve"> después de la entrada en vigor de la reforma. </w:t>
            </w:r>
          </w:p>
          <w:p w14:paraId="1B0BEDEF" w14:textId="77777777" w:rsidR="005352CF" w:rsidRPr="00DA1136" w:rsidRDefault="007D04D3" w:rsidP="007D04D3">
            <w:r w:rsidRPr="00DA1136">
              <w:t xml:space="preserve">Esta transitoriedad podrá ser modificada, dependiendo de las condiciones de oferta y demanda prevalecientes en </w:t>
            </w:r>
            <w:r w:rsidR="00D46920">
              <w:t>los</w:t>
            </w:r>
            <w:r w:rsidRPr="00DA1136">
              <w:t xml:space="preserve"> mercado</w:t>
            </w:r>
            <w:r w:rsidR="00D46920">
              <w:t>s correspondientes</w:t>
            </w:r>
            <w:r w:rsidRPr="00DA1136">
              <w:t>.</w:t>
            </w:r>
          </w:p>
          <w:p w14:paraId="33B3B38E" w14:textId="77777777" w:rsidR="0076517B" w:rsidRPr="00DA1136" w:rsidRDefault="0076517B" w:rsidP="0007737F"/>
        </w:tc>
      </w:tr>
    </w:tbl>
    <w:p w14:paraId="41E96BC9" w14:textId="77777777" w:rsidR="00922E2C" w:rsidRDefault="00922E2C" w:rsidP="00922E2C">
      <w:pPr>
        <w:jc w:val="center"/>
        <w:rPr>
          <w:b/>
          <w:bCs/>
        </w:rPr>
      </w:pPr>
    </w:p>
    <w:p w14:paraId="32D8CF65" w14:textId="77777777" w:rsidR="00535208" w:rsidRPr="00DA1136" w:rsidRDefault="00535208" w:rsidP="00535208">
      <w:pPr>
        <w:jc w:val="both"/>
      </w:pPr>
    </w:p>
    <w:sectPr w:rsidR="00535208" w:rsidRPr="00DA113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D476" w14:textId="77777777" w:rsidR="00AD2253" w:rsidRDefault="00AD2253" w:rsidP="0076517B">
      <w:pPr>
        <w:spacing w:after="0" w:line="240" w:lineRule="auto"/>
      </w:pPr>
      <w:r>
        <w:separator/>
      </w:r>
    </w:p>
  </w:endnote>
  <w:endnote w:type="continuationSeparator" w:id="0">
    <w:p w14:paraId="4AB881BB" w14:textId="77777777" w:rsidR="00AD2253" w:rsidRDefault="00AD2253" w:rsidP="0076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2247" w14:textId="77777777" w:rsidR="00D46529" w:rsidRDefault="00D465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4951"/>
      <w:docPartObj>
        <w:docPartGallery w:val="Page Numbers (Bottom of Page)"/>
        <w:docPartUnique/>
      </w:docPartObj>
    </w:sdtPr>
    <w:sdtEndPr/>
    <w:sdtContent>
      <w:p w14:paraId="0B77B337" w14:textId="77777777" w:rsidR="00B71D01" w:rsidRDefault="00B71D01">
        <w:pPr>
          <w:pStyle w:val="Piedepgina"/>
          <w:jc w:val="right"/>
        </w:pPr>
        <w:r>
          <w:fldChar w:fldCharType="begin"/>
        </w:r>
        <w:r>
          <w:instrText>PAGE   \* MERGEFORMAT</w:instrText>
        </w:r>
        <w:r>
          <w:fldChar w:fldCharType="separate"/>
        </w:r>
        <w:r>
          <w:rPr>
            <w:lang w:val="es-ES"/>
          </w:rPr>
          <w:t>2</w:t>
        </w:r>
        <w:r>
          <w:fldChar w:fldCharType="end"/>
        </w:r>
      </w:p>
    </w:sdtContent>
  </w:sdt>
  <w:p w14:paraId="0A230772" w14:textId="77777777" w:rsidR="00B71D01" w:rsidRDefault="00B71D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5AF6" w14:textId="77777777" w:rsidR="00D46529" w:rsidRDefault="00D465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8AD4" w14:textId="77777777" w:rsidR="00AD2253" w:rsidRDefault="00AD2253" w:rsidP="0076517B">
      <w:pPr>
        <w:spacing w:after="0" w:line="240" w:lineRule="auto"/>
      </w:pPr>
      <w:r>
        <w:separator/>
      </w:r>
    </w:p>
  </w:footnote>
  <w:footnote w:type="continuationSeparator" w:id="0">
    <w:p w14:paraId="11A302FA" w14:textId="77777777" w:rsidR="00AD2253" w:rsidRDefault="00AD2253" w:rsidP="0076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B6F8" w14:textId="77777777" w:rsidR="00D46529" w:rsidRDefault="00D465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FC9B" w14:textId="77777777" w:rsidR="00D46529" w:rsidRDefault="00D465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BBDE" w14:textId="77777777" w:rsidR="00D46529" w:rsidRDefault="00D465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4B29"/>
    <w:multiLevelType w:val="hybridMultilevel"/>
    <w:tmpl w:val="AB6E2014"/>
    <w:lvl w:ilvl="0" w:tplc="C292EC44">
      <w:start w:val="2"/>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6CE726CD"/>
    <w:multiLevelType w:val="hybridMultilevel"/>
    <w:tmpl w:val="8BF23D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2C"/>
    <w:rsid w:val="00003BE7"/>
    <w:rsid w:val="0000672D"/>
    <w:rsid w:val="0001041C"/>
    <w:rsid w:val="00013EAD"/>
    <w:rsid w:val="000146A5"/>
    <w:rsid w:val="00014B26"/>
    <w:rsid w:val="00014CFE"/>
    <w:rsid w:val="000161E3"/>
    <w:rsid w:val="0002550E"/>
    <w:rsid w:val="000301F9"/>
    <w:rsid w:val="00030C36"/>
    <w:rsid w:val="0003269C"/>
    <w:rsid w:val="00032AB5"/>
    <w:rsid w:val="0003497F"/>
    <w:rsid w:val="00036711"/>
    <w:rsid w:val="00037DE0"/>
    <w:rsid w:val="00041C9F"/>
    <w:rsid w:val="00043599"/>
    <w:rsid w:val="0004374B"/>
    <w:rsid w:val="00044AD8"/>
    <w:rsid w:val="00044EB0"/>
    <w:rsid w:val="00051ED4"/>
    <w:rsid w:val="00052678"/>
    <w:rsid w:val="00055F33"/>
    <w:rsid w:val="0005632D"/>
    <w:rsid w:val="00056623"/>
    <w:rsid w:val="00062018"/>
    <w:rsid w:val="0006263A"/>
    <w:rsid w:val="00062885"/>
    <w:rsid w:val="00063205"/>
    <w:rsid w:val="000654B5"/>
    <w:rsid w:val="0006668C"/>
    <w:rsid w:val="00066EAA"/>
    <w:rsid w:val="0007737F"/>
    <w:rsid w:val="0008187E"/>
    <w:rsid w:val="00081ADD"/>
    <w:rsid w:val="00084999"/>
    <w:rsid w:val="00084CEA"/>
    <w:rsid w:val="00086EE3"/>
    <w:rsid w:val="000960C2"/>
    <w:rsid w:val="000A110D"/>
    <w:rsid w:val="000A33E5"/>
    <w:rsid w:val="000B08AA"/>
    <w:rsid w:val="000B7F52"/>
    <w:rsid w:val="000C47A8"/>
    <w:rsid w:val="000C5852"/>
    <w:rsid w:val="000D075D"/>
    <w:rsid w:val="000D11C7"/>
    <w:rsid w:val="000D5F81"/>
    <w:rsid w:val="000D6739"/>
    <w:rsid w:val="000D6D83"/>
    <w:rsid w:val="000E2DA1"/>
    <w:rsid w:val="000E388E"/>
    <w:rsid w:val="000E5524"/>
    <w:rsid w:val="000F1F89"/>
    <w:rsid w:val="000F2115"/>
    <w:rsid w:val="000F24D6"/>
    <w:rsid w:val="000F452D"/>
    <w:rsid w:val="00100FAC"/>
    <w:rsid w:val="00101BAF"/>
    <w:rsid w:val="00103021"/>
    <w:rsid w:val="00107957"/>
    <w:rsid w:val="00111F0A"/>
    <w:rsid w:val="001126DB"/>
    <w:rsid w:val="00115AED"/>
    <w:rsid w:val="00120CF0"/>
    <w:rsid w:val="00123CFB"/>
    <w:rsid w:val="00125053"/>
    <w:rsid w:val="00126491"/>
    <w:rsid w:val="00126508"/>
    <w:rsid w:val="001306AF"/>
    <w:rsid w:val="00132D73"/>
    <w:rsid w:val="001343A0"/>
    <w:rsid w:val="0013702A"/>
    <w:rsid w:val="0013777A"/>
    <w:rsid w:val="00140000"/>
    <w:rsid w:val="0014056F"/>
    <w:rsid w:val="00141311"/>
    <w:rsid w:val="0014142D"/>
    <w:rsid w:val="00141F2A"/>
    <w:rsid w:val="00142445"/>
    <w:rsid w:val="00151AAF"/>
    <w:rsid w:val="00152FEF"/>
    <w:rsid w:val="001541C1"/>
    <w:rsid w:val="0016075B"/>
    <w:rsid w:val="0016281A"/>
    <w:rsid w:val="0016472F"/>
    <w:rsid w:val="00165258"/>
    <w:rsid w:val="0017083C"/>
    <w:rsid w:val="00171497"/>
    <w:rsid w:val="00172722"/>
    <w:rsid w:val="00172E47"/>
    <w:rsid w:val="0017349D"/>
    <w:rsid w:val="001779B6"/>
    <w:rsid w:val="00180FCB"/>
    <w:rsid w:val="0018129D"/>
    <w:rsid w:val="00181D77"/>
    <w:rsid w:val="00182466"/>
    <w:rsid w:val="00183976"/>
    <w:rsid w:val="00184AF8"/>
    <w:rsid w:val="0019459E"/>
    <w:rsid w:val="00196F7C"/>
    <w:rsid w:val="001A0074"/>
    <w:rsid w:val="001A1F6F"/>
    <w:rsid w:val="001A1F9B"/>
    <w:rsid w:val="001A3BF6"/>
    <w:rsid w:val="001A48E0"/>
    <w:rsid w:val="001A580C"/>
    <w:rsid w:val="001A5986"/>
    <w:rsid w:val="001A7701"/>
    <w:rsid w:val="001A7F3D"/>
    <w:rsid w:val="001B0F18"/>
    <w:rsid w:val="001B1084"/>
    <w:rsid w:val="001B7B99"/>
    <w:rsid w:val="001C3170"/>
    <w:rsid w:val="001D5A13"/>
    <w:rsid w:val="001E17BF"/>
    <w:rsid w:val="001E329F"/>
    <w:rsid w:val="001F2CF3"/>
    <w:rsid w:val="001F32DB"/>
    <w:rsid w:val="0020168C"/>
    <w:rsid w:val="002029C0"/>
    <w:rsid w:val="00202CB0"/>
    <w:rsid w:val="00204920"/>
    <w:rsid w:val="00204977"/>
    <w:rsid w:val="00204C39"/>
    <w:rsid w:val="002075C9"/>
    <w:rsid w:val="00210CB0"/>
    <w:rsid w:val="00212437"/>
    <w:rsid w:val="0021446E"/>
    <w:rsid w:val="002156D2"/>
    <w:rsid w:val="00217CD1"/>
    <w:rsid w:val="00221B04"/>
    <w:rsid w:val="00224E05"/>
    <w:rsid w:val="0022625A"/>
    <w:rsid w:val="00230545"/>
    <w:rsid w:val="00231DF0"/>
    <w:rsid w:val="002345AC"/>
    <w:rsid w:val="00247511"/>
    <w:rsid w:val="00247525"/>
    <w:rsid w:val="0025113A"/>
    <w:rsid w:val="0025707E"/>
    <w:rsid w:val="00257156"/>
    <w:rsid w:val="00261556"/>
    <w:rsid w:val="00264695"/>
    <w:rsid w:val="00265B8A"/>
    <w:rsid w:val="00270DD3"/>
    <w:rsid w:val="002742EA"/>
    <w:rsid w:val="00274C3D"/>
    <w:rsid w:val="002754D6"/>
    <w:rsid w:val="00282331"/>
    <w:rsid w:val="00283B58"/>
    <w:rsid w:val="00287585"/>
    <w:rsid w:val="00291BDF"/>
    <w:rsid w:val="00297450"/>
    <w:rsid w:val="00297CB6"/>
    <w:rsid w:val="002A187D"/>
    <w:rsid w:val="002A2FD4"/>
    <w:rsid w:val="002A384E"/>
    <w:rsid w:val="002A5991"/>
    <w:rsid w:val="002A67DB"/>
    <w:rsid w:val="002B048F"/>
    <w:rsid w:val="002B36D1"/>
    <w:rsid w:val="002B4BED"/>
    <w:rsid w:val="002B58EB"/>
    <w:rsid w:val="002B615C"/>
    <w:rsid w:val="002B61F3"/>
    <w:rsid w:val="002B6477"/>
    <w:rsid w:val="002B6C41"/>
    <w:rsid w:val="002C0B9B"/>
    <w:rsid w:val="002C1147"/>
    <w:rsid w:val="002C116C"/>
    <w:rsid w:val="002C12EA"/>
    <w:rsid w:val="002C140C"/>
    <w:rsid w:val="002C1613"/>
    <w:rsid w:val="002C2348"/>
    <w:rsid w:val="002C432B"/>
    <w:rsid w:val="002C46C9"/>
    <w:rsid w:val="002C4D44"/>
    <w:rsid w:val="002C50ED"/>
    <w:rsid w:val="002D06FF"/>
    <w:rsid w:val="002D51EB"/>
    <w:rsid w:val="002D6488"/>
    <w:rsid w:val="002D6BC0"/>
    <w:rsid w:val="002E0C1B"/>
    <w:rsid w:val="002E4141"/>
    <w:rsid w:val="002F2391"/>
    <w:rsid w:val="002F4F46"/>
    <w:rsid w:val="002F632A"/>
    <w:rsid w:val="00303E11"/>
    <w:rsid w:val="00304F71"/>
    <w:rsid w:val="00306F1E"/>
    <w:rsid w:val="00307215"/>
    <w:rsid w:val="00312A19"/>
    <w:rsid w:val="003171E2"/>
    <w:rsid w:val="00317400"/>
    <w:rsid w:val="0031761F"/>
    <w:rsid w:val="0032238A"/>
    <w:rsid w:val="003310A1"/>
    <w:rsid w:val="0033487F"/>
    <w:rsid w:val="0034139A"/>
    <w:rsid w:val="00344DFA"/>
    <w:rsid w:val="003456C0"/>
    <w:rsid w:val="00345BE7"/>
    <w:rsid w:val="00345CF7"/>
    <w:rsid w:val="00347C13"/>
    <w:rsid w:val="00347EB7"/>
    <w:rsid w:val="0035018C"/>
    <w:rsid w:val="00350E98"/>
    <w:rsid w:val="00352BA6"/>
    <w:rsid w:val="00361F5F"/>
    <w:rsid w:val="00365E4A"/>
    <w:rsid w:val="0036635A"/>
    <w:rsid w:val="00366BF4"/>
    <w:rsid w:val="00366C94"/>
    <w:rsid w:val="00367564"/>
    <w:rsid w:val="0037284E"/>
    <w:rsid w:val="00374EE2"/>
    <w:rsid w:val="003758BB"/>
    <w:rsid w:val="00380E36"/>
    <w:rsid w:val="00383079"/>
    <w:rsid w:val="00385EDC"/>
    <w:rsid w:val="003869F4"/>
    <w:rsid w:val="0038715D"/>
    <w:rsid w:val="00395049"/>
    <w:rsid w:val="003A175A"/>
    <w:rsid w:val="003A29BE"/>
    <w:rsid w:val="003A3ECA"/>
    <w:rsid w:val="003A5B1D"/>
    <w:rsid w:val="003B0045"/>
    <w:rsid w:val="003B41D1"/>
    <w:rsid w:val="003B69A4"/>
    <w:rsid w:val="003B7F18"/>
    <w:rsid w:val="003C162E"/>
    <w:rsid w:val="003C6992"/>
    <w:rsid w:val="003D0CAD"/>
    <w:rsid w:val="003D0E97"/>
    <w:rsid w:val="003D10A8"/>
    <w:rsid w:val="003D17CA"/>
    <w:rsid w:val="003D2E98"/>
    <w:rsid w:val="003D37D8"/>
    <w:rsid w:val="003D4D91"/>
    <w:rsid w:val="003D4D99"/>
    <w:rsid w:val="003D7353"/>
    <w:rsid w:val="003D763F"/>
    <w:rsid w:val="003E150C"/>
    <w:rsid w:val="003F11CD"/>
    <w:rsid w:val="003F2938"/>
    <w:rsid w:val="003F387B"/>
    <w:rsid w:val="00402360"/>
    <w:rsid w:val="00404906"/>
    <w:rsid w:val="004066FA"/>
    <w:rsid w:val="00407C1E"/>
    <w:rsid w:val="00410A34"/>
    <w:rsid w:val="00411D19"/>
    <w:rsid w:val="00412ED8"/>
    <w:rsid w:val="00413642"/>
    <w:rsid w:val="00413CF6"/>
    <w:rsid w:val="004162E1"/>
    <w:rsid w:val="00416B85"/>
    <w:rsid w:val="004174C7"/>
    <w:rsid w:val="004214D7"/>
    <w:rsid w:val="004228E6"/>
    <w:rsid w:val="0042320B"/>
    <w:rsid w:val="004237DA"/>
    <w:rsid w:val="00424333"/>
    <w:rsid w:val="0042783A"/>
    <w:rsid w:val="00427CFD"/>
    <w:rsid w:val="0043167D"/>
    <w:rsid w:val="00431F55"/>
    <w:rsid w:val="004340C3"/>
    <w:rsid w:val="00436AD5"/>
    <w:rsid w:val="00437BDB"/>
    <w:rsid w:val="00441F28"/>
    <w:rsid w:val="004429EE"/>
    <w:rsid w:val="0044374F"/>
    <w:rsid w:val="00450257"/>
    <w:rsid w:val="0045346C"/>
    <w:rsid w:val="004540C0"/>
    <w:rsid w:val="004575DB"/>
    <w:rsid w:val="0046194A"/>
    <w:rsid w:val="00464EDB"/>
    <w:rsid w:val="00465F87"/>
    <w:rsid w:val="00466A26"/>
    <w:rsid w:val="00474025"/>
    <w:rsid w:val="00480099"/>
    <w:rsid w:val="00480BA3"/>
    <w:rsid w:val="00482537"/>
    <w:rsid w:val="004838BF"/>
    <w:rsid w:val="0048474A"/>
    <w:rsid w:val="004852FC"/>
    <w:rsid w:val="00493528"/>
    <w:rsid w:val="004A01CF"/>
    <w:rsid w:val="004A2578"/>
    <w:rsid w:val="004A4CA0"/>
    <w:rsid w:val="004A5960"/>
    <w:rsid w:val="004B1286"/>
    <w:rsid w:val="004B24B9"/>
    <w:rsid w:val="004B38C5"/>
    <w:rsid w:val="004B50A1"/>
    <w:rsid w:val="004C031C"/>
    <w:rsid w:val="004C2B50"/>
    <w:rsid w:val="004C5102"/>
    <w:rsid w:val="004C6B1E"/>
    <w:rsid w:val="004C6CE6"/>
    <w:rsid w:val="004C6E51"/>
    <w:rsid w:val="004D2BD8"/>
    <w:rsid w:val="004D7647"/>
    <w:rsid w:val="004E0906"/>
    <w:rsid w:val="004E403C"/>
    <w:rsid w:val="004F0D40"/>
    <w:rsid w:val="004F1D92"/>
    <w:rsid w:val="004F3E2A"/>
    <w:rsid w:val="004F65D0"/>
    <w:rsid w:val="004F7284"/>
    <w:rsid w:val="00502324"/>
    <w:rsid w:val="00504A02"/>
    <w:rsid w:val="0051080D"/>
    <w:rsid w:val="005109C5"/>
    <w:rsid w:val="0051133B"/>
    <w:rsid w:val="0051337B"/>
    <w:rsid w:val="00516057"/>
    <w:rsid w:val="00517786"/>
    <w:rsid w:val="00520D51"/>
    <w:rsid w:val="005228C4"/>
    <w:rsid w:val="00523A66"/>
    <w:rsid w:val="0052412F"/>
    <w:rsid w:val="00531BD2"/>
    <w:rsid w:val="00532B7C"/>
    <w:rsid w:val="00533ECD"/>
    <w:rsid w:val="00535208"/>
    <w:rsid w:val="005352CF"/>
    <w:rsid w:val="00540F0D"/>
    <w:rsid w:val="00542569"/>
    <w:rsid w:val="00542843"/>
    <w:rsid w:val="005472A4"/>
    <w:rsid w:val="005472A8"/>
    <w:rsid w:val="00550252"/>
    <w:rsid w:val="0055098A"/>
    <w:rsid w:val="00551DF5"/>
    <w:rsid w:val="005529F9"/>
    <w:rsid w:val="00552F09"/>
    <w:rsid w:val="0055369A"/>
    <w:rsid w:val="00555ECC"/>
    <w:rsid w:val="00556313"/>
    <w:rsid w:val="00556B1D"/>
    <w:rsid w:val="005573B7"/>
    <w:rsid w:val="005633B5"/>
    <w:rsid w:val="0057077A"/>
    <w:rsid w:val="00574835"/>
    <w:rsid w:val="0057635B"/>
    <w:rsid w:val="005773D3"/>
    <w:rsid w:val="00577997"/>
    <w:rsid w:val="00577F00"/>
    <w:rsid w:val="00581BB2"/>
    <w:rsid w:val="00581C0F"/>
    <w:rsid w:val="005861D1"/>
    <w:rsid w:val="00587FFE"/>
    <w:rsid w:val="005912F5"/>
    <w:rsid w:val="0059509B"/>
    <w:rsid w:val="00597692"/>
    <w:rsid w:val="005A23F9"/>
    <w:rsid w:val="005A4C51"/>
    <w:rsid w:val="005A55BB"/>
    <w:rsid w:val="005B0E4B"/>
    <w:rsid w:val="005B1281"/>
    <w:rsid w:val="005B16C8"/>
    <w:rsid w:val="005B1F60"/>
    <w:rsid w:val="005B2146"/>
    <w:rsid w:val="005C192B"/>
    <w:rsid w:val="005C1E07"/>
    <w:rsid w:val="005C3A6B"/>
    <w:rsid w:val="005C4DAC"/>
    <w:rsid w:val="005C5AAA"/>
    <w:rsid w:val="005C6962"/>
    <w:rsid w:val="005C6F52"/>
    <w:rsid w:val="005D09DA"/>
    <w:rsid w:val="005D1161"/>
    <w:rsid w:val="005E1433"/>
    <w:rsid w:val="005E21EC"/>
    <w:rsid w:val="005E4609"/>
    <w:rsid w:val="005F0197"/>
    <w:rsid w:val="005F1F8C"/>
    <w:rsid w:val="005F310F"/>
    <w:rsid w:val="005F5FBB"/>
    <w:rsid w:val="006006C1"/>
    <w:rsid w:val="00606D2E"/>
    <w:rsid w:val="006073BB"/>
    <w:rsid w:val="006107D6"/>
    <w:rsid w:val="00610B1E"/>
    <w:rsid w:val="00611E61"/>
    <w:rsid w:val="0061355D"/>
    <w:rsid w:val="00617B59"/>
    <w:rsid w:val="00624283"/>
    <w:rsid w:val="00624D1C"/>
    <w:rsid w:val="006251A4"/>
    <w:rsid w:val="00626250"/>
    <w:rsid w:val="006275EF"/>
    <w:rsid w:val="00631174"/>
    <w:rsid w:val="00633536"/>
    <w:rsid w:val="00634FBA"/>
    <w:rsid w:val="00636696"/>
    <w:rsid w:val="00643714"/>
    <w:rsid w:val="0064372B"/>
    <w:rsid w:val="00644F15"/>
    <w:rsid w:val="00645833"/>
    <w:rsid w:val="00645A34"/>
    <w:rsid w:val="0065279A"/>
    <w:rsid w:val="00652A17"/>
    <w:rsid w:val="006531A9"/>
    <w:rsid w:val="00653E8B"/>
    <w:rsid w:val="006547CC"/>
    <w:rsid w:val="00663599"/>
    <w:rsid w:val="00664F9F"/>
    <w:rsid w:val="00664FB2"/>
    <w:rsid w:val="006660B0"/>
    <w:rsid w:val="006678DC"/>
    <w:rsid w:val="0067086F"/>
    <w:rsid w:val="00670DEF"/>
    <w:rsid w:val="006801E9"/>
    <w:rsid w:val="006816BA"/>
    <w:rsid w:val="00681CF3"/>
    <w:rsid w:val="00681E29"/>
    <w:rsid w:val="0068226E"/>
    <w:rsid w:val="00684DC1"/>
    <w:rsid w:val="0068525D"/>
    <w:rsid w:val="0068646C"/>
    <w:rsid w:val="006921CD"/>
    <w:rsid w:val="00694840"/>
    <w:rsid w:val="00696102"/>
    <w:rsid w:val="00696ABF"/>
    <w:rsid w:val="006A1229"/>
    <w:rsid w:val="006B1BE7"/>
    <w:rsid w:val="006B32A3"/>
    <w:rsid w:val="006B5FC7"/>
    <w:rsid w:val="006B6CA8"/>
    <w:rsid w:val="006B7C81"/>
    <w:rsid w:val="006C08E6"/>
    <w:rsid w:val="006C6C02"/>
    <w:rsid w:val="006D49D1"/>
    <w:rsid w:val="006D5EBE"/>
    <w:rsid w:val="006D6C94"/>
    <w:rsid w:val="006D77D2"/>
    <w:rsid w:val="006E06E5"/>
    <w:rsid w:val="006E082F"/>
    <w:rsid w:val="006E260A"/>
    <w:rsid w:val="006E3619"/>
    <w:rsid w:val="006E3DF8"/>
    <w:rsid w:val="006E4761"/>
    <w:rsid w:val="006E5639"/>
    <w:rsid w:val="006E6956"/>
    <w:rsid w:val="006F45F5"/>
    <w:rsid w:val="006F47A0"/>
    <w:rsid w:val="006F5FD7"/>
    <w:rsid w:val="006F7C33"/>
    <w:rsid w:val="00700A9F"/>
    <w:rsid w:val="00701B57"/>
    <w:rsid w:val="007041DA"/>
    <w:rsid w:val="0070491D"/>
    <w:rsid w:val="00704A51"/>
    <w:rsid w:val="00704DB1"/>
    <w:rsid w:val="00705FCB"/>
    <w:rsid w:val="00707547"/>
    <w:rsid w:val="00716336"/>
    <w:rsid w:val="00720433"/>
    <w:rsid w:val="007234F1"/>
    <w:rsid w:val="00723750"/>
    <w:rsid w:val="00726E43"/>
    <w:rsid w:val="007303AE"/>
    <w:rsid w:val="007330EA"/>
    <w:rsid w:val="00733595"/>
    <w:rsid w:val="00733CDC"/>
    <w:rsid w:val="00745B05"/>
    <w:rsid w:val="00747200"/>
    <w:rsid w:val="00751C1F"/>
    <w:rsid w:val="00756991"/>
    <w:rsid w:val="00757506"/>
    <w:rsid w:val="007608B8"/>
    <w:rsid w:val="00760E9F"/>
    <w:rsid w:val="00764F5F"/>
    <w:rsid w:val="007650D5"/>
    <w:rsid w:val="0076517B"/>
    <w:rsid w:val="0076537B"/>
    <w:rsid w:val="00765775"/>
    <w:rsid w:val="007665E1"/>
    <w:rsid w:val="007710E6"/>
    <w:rsid w:val="007748DD"/>
    <w:rsid w:val="00774D88"/>
    <w:rsid w:val="00777F79"/>
    <w:rsid w:val="007812F3"/>
    <w:rsid w:val="00781EA9"/>
    <w:rsid w:val="007826BE"/>
    <w:rsid w:val="00783489"/>
    <w:rsid w:val="007858D0"/>
    <w:rsid w:val="007914A1"/>
    <w:rsid w:val="007929C3"/>
    <w:rsid w:val="00792D90"/>
    <w:rsid w:val="007937C9"/>
    <w:rsid w:val="00795CD7"/>
    <w:rsid w:val="007964D0"/>
    <w:rsid w:val="007A130C"/>
    <w:rsid w:val="007A61E7"/>
    <w:rsid w:val="007A6FE4"/>
    <w:rsid w:val="007B044D"/>
    <w:rsid w:val="007B101B"/>
    <w:rsid w:val="007B36EA"/>
    <w:rsid w:val="007B4811"/>
    <w:rsid w:val="007B5A06"/>
    <w:rsid w:val="007B6575"/>
    <w:rsid w:val="007D04D3"/>
    <w:rsid w:val="007D1BFE"/>
    <w:rsid w:val="007D1F81"/>
    <w:rsid w:val="007D4E43"/>
    <w:rsid w:val="007D6D95"/>
    <w:rsid w:val="007D767C"/>
    <w:rsid w:val="007D7A81"/>
    <w:rsid w:val="007E01F4"/>
    <w:rsid w:val="007E028B"/>
    <w:rsid w:val="007E16A5"/>
    <w:rsid w:val="007E2070"/>
    <w:rsid w:val="007E29AC"/>
    <w:rsid w:val="007E5571"/>
    <w:rsid w:val="007E6AC0"/>
    <w:rsid w:val="007F151E"/>
    <w:rsid w:val="007F2F86"/>
    <w:rsid w:val="007F302F"/>
    <w:rsid w:val="007F3EC9"/>
    <w:rsid w:val="00801E93"/>
    <w:rsid w:val="00805008"/>
    <w:rsid w:val="00811003"/>
    <w:rsid w:val="00811793"/>
    <w:rsid w:val="00813BF8"/>
    <w:rsid w:val="008142C2"/>
    <w:rsid w:val="00817F09"/>
    <w:rsid w:val="00832228"/>
    <w:rsid w:val="008348C2"/>
    <w:rsid w:val="00835A7F"/>
    <w:rsid w:val="008451B1"/>
    <w:rsid w:val="0084583A"/>
    <w:rsid w:val="0084612D"/>
    <w:rsid w:val="00846AB3"/>
    <w:rsid w:val="0085014B"/>
    <w:rsid w:val="00852A86"/>
    <w:rsid w:val="00866629"/>
    <w:rsid w:val="008748AE"/>
    <w:rsid w:val="00875AFB"/>
    <w:rsid w:val="00875EA1"/>
    <w:rsid w:val="00882908"/>
    <w:rsid w:val="008920E1"/>
    <w:rsid w:val="00893129"/>
    <w:rsid w:val="00895434"/>
    <w:rsid w:val="00896C60"/>
    <w:rsid w:val="008A25D3"/>
    <w:rsid w:val="008A57E9"/>
    <w:rsid w:val="008B101D"/>
    <w:rsid w:val="008B3B2D"/>
    <w:rsid w:val="008B43CC"/>
    <w:rsid w:val="008B486E"/>
    <w:rsid w:val="008B4942"/>
    <w:rsid w:val="008B5D70"/>
    <w:rsid w:val="008B67B9"/>
    <w:rsid w:val="008D29D7"/>
    <w:rsid w:val="008D2CC0"/>
    <w:rsid w:val="008D2E9B"/>
    <w:rsid w:val="008D42C9"/>
    <w:rsid w:val="008E411D"/>
    <w:rsid w:val="008E53F1"/>
    <w:rsid w:val="008E5498"/>
    <w:rsid w:val="008E6E9D"/>
    <w:rsid w:val="008F2E00"/>
    <w:rsid w:val="008F679F"/>
    <w:rsid w:val="00901974"/>
    <w:rsid w:val="00902B12"/>
    <w:rsid w:val="00905626"/>
    <w:rsid w:val="009116B0"/>
    <w:rsid w:val="00911D7B"/>
    <w:rsid w:val="00912C0F"/>
    <w:rsid w:val="0091417C"/>
    <w:rsid w:val="00917269"/>
    <w:rsid w:val="00922E2C"/>
    <w:rsid w:val="00925878"/>
    <w:rsid w:val="00926642"/>
    <w:rsid w:val="00930A20"/>
    <w:rsid w:val="0093653D"/>
    <w:rsid w:val="00950BC2"/>
    <w:rsid w:val="0095549E"/>
    <w:rsid w:val="00955731"/>
    <w:rsid w:val="00957E65"/>
    <w:rsid w:val="00961C21"/>
    <w:rsid w:val="009623CE"/>
    <w:rsid w:val="0096646C"/>
    <w:rsid w:val="00973793"/>
    <w:rsid w:val="009738DD"/>
    <w:rsid w:val="00974B3E"/>
    <w:rsid w:val="00975CC9"/>
    <w:rsid w:val="00975E9E"/>
    <w:rsid w:val="009776B9"/>
    <w:rsid w:val="009819A9"/>
    <w:rsid w:val="00981A75"/>
    <w:rsid w:val="00985CE1"/>
    <w:rsid w:val="00987A54"/>
    <w:rsid w:val="00990B6D"/>
    <w:rsid w:val="00993939"/>
    <w:rsid w:val="009A6954"/>
    <w:rsid w:val="009B05D6"/>
    <w:rsid w:val="009B08DA"/>
    <w:rsid w:val="009B0A16"/>
    <w:rsid w:val="009B1CCC"/>
    <w:rsid w:val="009B618C"/>
    <w:rsid w:val="009B75FD"/>
    <w:rsid w:val="009C14C2"/>
    <w:rsid w:val="009C34D6"/>
    <w:rsid w:val="009C44EB"/>
    <w:rsid w:val="009C79F0"/>
    <w:rsid w:val="009D66BE"/>
    <w:rsid w:val="009E2A46"/>
    <w:rsid w:val="009E47A4"/>
    <w:rsid w:val="009E5F6A"/>
    <w:rsid w:val="009F0C1C"/>
    <w:rsid w:val="009F0CD4"/>
    <w:rsid w:val="009F4FBC"/>
    <w:rsid w:val="009F5750"/>
    <w:rsid w:val="009F606A"/>
    <w:rsid w:val="00A0187A"/>
    <w:rsid w:val="00A021A6"/>
    <w:rsid w:val="00A037EA"/>
    <w:rsid w:val="00A05477"/>
    <w:rsid w:val="00A05ADA"/>
    <w:rsid w:val="00A11DAD"/>
    <w:rsid w:val="00A14772"/>
    <w:rsid w:val="00A15393"/>
    <w:rsid w:val="00A22B0E"/>
    <w:rsid w:val="00A23CF4"/>
    <w:rsid w:val="00A25223"/>
    <w:rsid w:val="00A25622"/>
    <w:rsid w:val="00A27E6D"/>
    <w:rsid w:val="00A317FD"/>
    <w:rsid w:val="00A343BA"/>
    <w:rsid w:val="00A35DBE"/>
    <w:rsid w:val="00A369B0"/>
    <w:rsid w:val="00A37BE4"/>
    <w:rsid w:val="00A406D3"/>
    <w:rsid w:val="00A41ACB"/>
    <w:rsid w:val="00A439F6"/>
    <w:rsid w:val="00A44190"/>
    <w:rsid w:val="00A45CA5"/>
    <w:rsid w:val="00A46F15"/>
    <w:rsid w:val="00A518C6"/>
    <w:rsid w:val="00A51A5F"/>
    <w:rsid w:val="00A5444E"/>
    <w:rsid w:val="00A556C1"/>
    <w:rsid w:val="00A62389"/>
    <w:rsid w:val="00A644D1"/>
    <w:rsid w:val="00A67CC9"/>
    <w:rsid w:val="00A7412A"/>
    <w:rsid w:val="00A74714"/>
    <w:rsid w:val="00A75ADD"/>
    <w:rsid w:val="00A75E9A"/>
    <w:rsid w:val="00A80341"/>
    <w:rsid w:val="00A810DE"/>
    <w:rsid w:val="00A81998"/>
    <w:rsid w:val="00A84BF2"/>
    <w:rsid w:val="00A84E29"/>
    <w:rsid w:val="00A85517"/>
    <w:rsid w:val="00A907A0"/>
    <w:rsid w:val="00A9118A"/>
    <w:rsid w:val="00A937A3"/>
    <w:rsid w:val="00A93C50"/>
    <w:rsid w:val="00A95795"/>
    <w:rsid w:val="00A97886"/>
    <w:rsid w:val="00AA27E9"/>
    <w:rsid w:val="00AA3C69"/>
    <w:rsid w:val="00AA59CD"/>
    <w:rsid w:val="00AB3897"/>
    <w:rsid w:val="00AB61D6"/>
    <w:rsid w:val="00AC7E60"/>
    <w:rsid w:val="00AD1C5B"/>
    <w:rsid w:val="00AD2253"/>
    <w:rsid w:val="00AD6286"/>
    <w:rsid w:val="00AD69F2"/>
    <w:rsid w:val="00AD7995"/>
    <w:rsid w:val="00AE1FDB"/>
    <w:rsid w:val="00AE33BD"/>
    <w:rsid w:val="00AF1FD7"/>
    <w:rsid w:val="00AF2666"/>
    <w:rsid w:val="00AF2A2A"/>
    <w:rsid w:val="00AF4313"/>
    <w:rsid w:val="00AF4705"/>
    <w:rsid w:val="00AF7AF6"/>
    <w:rsid w:val="00B01782"/>
    <w:rsid w:val="00B027ED"/>
    <w:rsid w:val="00B10EE3"/>
    <w:rsid w:val="00B11EA1"/>
    <w:rsid w:val="00B124E3"/>
    <w:rsid w:val="00B13131"/>
    <w:rsid w:val="00B1470D"/>
    <w:rsid w:val="00B15753"/>
    <w:rsid w:val="00B15829"/>
    <w:rsid w:val="00B22801"/>
    <w:rsid w:val="00B24269"/>
    <w:rsid w:val="00B26AD4"/>
    <w:rsid w:val="00B26BFB"/>
    <w:rsid w:val="00B27A54"/>
    <w:rsid w:val="00B313F4"/>
    <w:rsid w:val="00B319A2"/>
    <w:rsid w:val="00B330DA"/>
    <w:rsid w:val="00B342C1"/>
    <w:rsid w:val="00B35E93"/>
    <w:rsid w:val="00B416DE"/>
    <w:rsid w:val="00B41D82"/>
    <w:rsid w:val="00B43FD7"/>
    <w:rsid w:val="00B4435F"/>
    <w:rsid w:val="00B45254"/>
    <w:rsid w:val="00B46BB2"/>
    <w:rsid w:val="00B510F2"/>
    <w:rsid w:val="00B5278C"/>
    <w:rsid w:val="00B54502"/>
    <w:rsid w:val="00B55EAA"/>
    <w:rsid w:val="00B62B52"/>
    <w:rsid w:val="00B63D6B"/>
    <w:rsid w:val="00B6403F"/>
    <w:rsid w:val="00B65263"/>
    <w:rsid w:val="00B667E2"/>
    <w:rsid w:val="00B67A27"/>
    <w:rsid w:val="00B70A81"/>
    <w:rsid w:val="00B717E7"/>
    <w:rsid w:val="00B71D01"/>
    <w:rsid w:val="00B8115E"/>
    <w:rsid w:val="00B822F8"/>
    <w:rsid w:val="00B829E3"/>
    <w:rsid w:val="00B8500F"/>
    <w:rsid w:val="00B851B6"/>
    <w:rsid w:val="00B90653"/>
    <w:rsid w:val="00B9609A"/>
    <w:rsid w:val="00B97680"/>
    <w:rsid w:val="00BA759A"/>
    <w:rsid w:val="00BB1199"/>
    <w:rsid w:val="00BB725B"/>
    <w:rsid w:val="00BC3AEE"/>
    <w:rsid w:val="00BC6AB5"/>
    <w:rsid w:val="00BD1131"/>
    <w:rsid w:val="00BD309E"/>
    <w:rsid w:val="00BD36AD"/>
    <w:rsid w:val="00BD4FE3"/>
    <w:rsid w:val="00BD5A38"/>
    <w:rsid w:val="00BD7D63"/>
    <w:rsid w:val="00BE12BD"/>
    <w:rsid w:val="00BE2ECD"/>
    <w:rsid w:val="00BF00D3"/>
    <w:rsid w:val="00BF079B"/>
    <w:rsid w:val="00BF189D"/>
    <w:rsid w:val="00BF3B1D"/>
    <w:rsid w:val="00BF6EAD"/>
    <w:rsid w:val="00C00E24"/>
    <w:rsid w:val="00C02EFF"/>
    <w:rsid w:val="00C03478"/>
    <w:rsid w:val="00C05EBB"/>
    <w:rsid w:val="00C10178"/>
    <w:rsid w:val="00C110DA"/>
    <w:rsid w:val="00C1348C"/>
    <w:rsid w:val="00C15397"/>
    <w:rsid w:val="00C1637A"/>
    <w:rsid w:val="00C22C74"/>
    <w:rsid w:val="00C26886"/>
    <w:rsid w:val="00C2795F"/>
    <w:rsid w:val="00C279C9"/>
    <w:rsid w:val="00C30A0A"/>
    <w:rsid w:val="00C3639C"/>
    <w:rsid w:val="00C40281"/>
    <w:rsid w:val="00C40E8D"/>
    <w:rsid w:val="00C4358C"/>
    <w:rsid w:val="00C45630"/>
    <w:rsid w:val="00C45848"/>
    <w:rsid w:val="00C46F88"/>
    <w:rsid w:val="00C524C0"/>
    <w:rsid w:val="00C52985"/>
    <w:rsid w:val="00C52BA4"/>
    <w:rsid w:val="00C52D9F"/>
    <w:rsid w:val="00C540F6"/>
    <w:rsid w:val="00C54485"/>
    <w:rsid w:val="00C60124"/>
    <w:rsid w:val="00C6083E"/>
    <w:rsid w:val="00C60888"/>
    <w:rsid w:val="00C61C81"/>
    <w:rsid w:val="00C652A7"/>
    <w:rsid w:val="00C67D26"/>
    <w:rsid w:val="00C713B8"/>
    <w:rsid w:val="00C7220D"/>
    <w:rsid w:val="00C73D33"/>
    <w:rsid w:val="00C76191"/>
    <w:rsid w:val="00C77C39"/>
    <w:rsid w:val="00C90E2C"/>
    <w:rsid w:val="00C92815"/>
    <w:rsid w:val="00C932C1"/>
    <w:rsid w:val="00CA19E6"/>
    <w:rsid w:val="00CA1F9C"/>
    <w:rsid w:val="00CA25D1"/>
    <w:rsid w:val="00CA37B2"/>
    <w:rsid w:val="00CA3F4D"/>
    <w:rsid w:val="00CA4841"/>
    <w:rsid w:val="00CB22E5"/>
    <w:rsid w:val="00CB37B9"/>
    <w:rsid w:val="00CB4127"/>
    <w:rsid w:val="00CB66C8"/>
    <w:rsid w:val="00CB6B40"/>
    <w:rsid w:val="00CB7980"/>
    <w:rsid w:val="00CC1624"/>
    <w:rsid w:val="00CC26BB"/>
    <w:rsid w:val="00CC28E8"/>
    <w:rsid w:val="00CC3515"/>
    <w:rsid w:val="00CC603D"/>
    <w:rsid w:val="00CC70EF"/>
    <w:rsid w:val="00CD0FB1"/>
    <w:rsid w:val="00CD14E6"/>
    <w:rsid w:val="00CD153A"/>
    <w:rsid w:val="00CD1700"/>
    <w:rsid w:val="00CD1C17"/>
    <w:rsid w:val="00CE1D86"/>
    <w:rsid w:val="00CE2F99"/>
    <w:rsid w:val="00CE4BCC"/>
    <w:rsid w:val="00CE72F3"/>
    <w:rsid w:val="00CF6970"/>
    <w:rsid w:val="00CF78A9"/>
    <w:rsid w:val="00D02E1B"/>
    <w:rsid w:val="00D16B15"/>
    <w:rsid w:val="00D24766"/>
    <w:rsid w:val="00D24C98"/>
    <w:rsid w:val="00D269B1"/>
    <w:rsid w:val="00D30AE2"/>
    <w:rsid w:val="00D31FD9"/>
    <w:rsid w:val="00D3248F"/>
    <w:rsid w:val="00D35D19"/>
    <w:rsid w:val="00D4032D"/>
    <w:rsid w:val="00D422B8"/>
    <w:rsid w:val="00D46529"/>
    <w:rsid w:val="00D46920"/>
    <w:rsid w:val="00D54363"/>
    <w:rsid w:val="00D557B8"/>
    <w:rsid w:val="00D55EB0"/>
    <w:rsid w:val="00D56C9B"/>
    <w:rsid w:val="00D56FD5"/>
    <w:rsid w:val="00D57164"/>
    <w:rsid w:val="00D61329"/>
    <w:rsid w:val="00D62B0E"/>
    <w:rsid w:val="00D62CE0"/>
    <w:rsid w:val="00D63C0F"/>
    <w:rsid w:val="00D653B6"/>
    <w:rsid w:val="00D670ED"/>
    <w:rsid w:val="00D676C1"/>
    <w:rsid w:val="00D72CB1"/>
    <w:rsid w:val="00D74C97"/>
    <w:rsid w:val="00D77D29"/>
    <w:rsid w:val="00D929B6"/>
    <w:rsid w:val="00DA1136"/>
    <w:rsid w:val="00DA2B1B"/>
    <w:rsid w:val="00DA2CC5"/>
    <w:rsid w:val="00DA589B"/>
    <w:rsid w:val="00DA77A0"/>
    <w:rsid w:val="00DB3236"/>
    <w:rsid w:val="00DB4D10"/>
    <w:rsid w:val="00DB7BE6"/>
    <w:rsid w:val="00DC2167"/>
    <w:rsid w:val="00DC690C"/>
    <w:rsid w:val="00DC7327"/>
    <w:rsid w:val="00DD2243"/>
    <w:rsid w:val="00DD335E"/>
    <w:rsid w:val="00DD3F18"/>
    <w:rsid w:val="00DE0FED"/>
    <w:rsid w:val="00DE1D5D"/>
    <w:rsid w:val="00DE289A"/>
    <w:rsid w:val="00DE3C2E"/>
    <w:rsid w:val="00DE42B8"/>
    <w:rsid w:val="00DE4A71"/>
    <w:rsid w:val="00DE4A93"/>
    <w:rsid w:val="00DE4B77"/>
    <w:rsid w:val="00DE79BC"/>
    <w:rsid w:val="00DE7D98"/>
    <w:rsid w:val="00DF1D20"/>
    <w:rsid w:val="00E035E4"/>
    <w:rsid w:val="00E040A0"/>
    <w:rsid w:val="00E0525E"/>
    <w:rsid w:val="00E05D9A"/>
    <w:rsid w:val="00E078E0"/>
    <w:rsid w:val="00E1127B"/>
    <w:rsid w:val="00E13221"/>
    <w:rsid w:val="00E14A28"/>
    <w:rsid w:val="00E14C55"/>
    <w:rsid w:val="00E21D32"/>
    <w:rsid w:val="00E23CC1"/>
    <w:rsid w:val="00E23E05"/>
    <w:rsid w:val="00E306BA"/>
    <w:rsid w:val="00E30FE0"/>
    <w:rsid w:val="00E33E62"/>
    <w:rsid w:val="00E3491B"/>
    <w:rsid w:val="00E34D8F"/>
    <w:rsid w:val="00E35529"/>
    <w:rsid w:val="00E4040A"/>
    <w:rsid w:val="00E407E3"/>
    <w:rsid w:val="00E41362"/>
    <w:rsid w:val="00E4160C"/>
    <w:rsid w:val="00E470BA"/>
    <w:rsid w:val="00E47A88"/>
    <w:rsid w:val="00E5052E"/>
    <w:rsid w:val="00E51A06"/>
    <w:rsid w:val="00E55CC5"/>
    <w:rsid w:val="00E61415"/>
    <w:rsid w:val="00E6231C"/>
    <w:rsid w:val="00E65ED2"/>
    <w:rsid w:val="00E72BBD"/>
    <w:rsid w:val="00E77716"/>
    <w:rsid w:val="00E80435"/>
    <w:rsid w:val="00E81DFC"/>
    <w:rsid w:val="00E857EB"/>
    <w:rsid w:val="00E87B90"/>
    <w:rsid w:val="00E87D4D"/>
    <w:rsid w:val="00E902A6"/>
    <w:rsid w:val="00E94CFB"/>
    <w:rsid w:val="00E968CB"/>
    <w:rsid w:val="00E972A3"/>
    <w:rsid w:val="00EA0BB4"/>
    <w:rsid w:val="00EA0CF9"/>
    <w:rsid w:val="00EA2A0C"/>
    <w:rsid w:val="00EA735C"/>
    <w:rsid w:val="00EB273F"/>
    <w:rsid w:val="00EB34D1"/>
    <w:rsid w:val="00EB467D"/>
    <w:rsid w:val="00EB7860"/>
    <w:rsid w:val="00EB7E61"/>
    <w:rsid w:val="00EC01A6"/>
    <w:rsid w:val="00EC17B0"/>
    <w:rsid w:val="00EC198A"/>
    <w:rsid w:val="00EC1B11"/>
    <w:rsid w:val="00EC414C"/>
    <w:rsid w:val="00EC5DAF"/>
    <w:rsid w:val="00EC62FF"/>
    <w:rsid w:val="00ED1101"/>
    <w:rsid w:val="00ED3BE1"/>
    <w:rsid w:val="00ED3E9E"/>
    <w:rsid w:val="00ED4846"/>
    <w:rsid w:val="00ED6418"/>
    <w:rsid w:val="00EE078F"/>
    <w:rsid w:val="00EE525F"/>
    <w:rsid w:val="00EE56AD"/>
    <w:rsid w:val="00EE6DB1"/>
    <w:rsid w:val="00EE6E77"/>
    <w:rsid w:val="00EE6F5C"/>
    <w:rsid w:val="00EF05C2"/>
    <w:rsid w:val="00EF0CEF"/>
    <w:rsid w:val="00EF21B3"/>
    <w:rsid w:val="00EF29CA"/>
    <w:rsid w:val="00EF2D38"/>
    <w:rsid w:val="00EF3811"/>
    <w:rsid w:val="00EF695D"/>
    <w:rsid w:val="00F0374C"/>
    <w:rsid w:val="00F17A8F"/>
    <w:rsid w:val="00F17D35"/>
    <w:rsid w:val="00F20602"/>
    <w:rsid w:val="00F23243"/>
    <w:rsid w:val="00F236B1"/>
    <w:rsid w:val="00F25DFB"/>
    <w:rsid w:val="00F25ED3"/>
    <w:rsid w:val="00F31F40"/>
    <w:rsid w:val="00F32A64"/>
    <w:rsid w:val="00F3372A"/>
    <w:rsid w:val="00F34909"/>
    <w:rsid w:val="00F35A0D"/>
    <w:rsid w:val="00F35C3C"/>
    <w:rsid w:val="00F37360"/>
    <w:rsid w:val="00F457F6"/>
    <w:rsid w:val="00F45813"/>
    <w:rsid w:val="00F474A9"/>
    <w:rsid w:val="00F474DD"/>
    <w:rsid w:val="00F50D86"/>
    <w:rsid w:val="00F523B7"/>
    <w:rsid w:val="00F562BD"/>
    <w:rsid w:val="00F56D71"/>
    <w:rsid w:val="00F577A0"/>
    <w:rsid w:val="00F57943"/>
    <w:rsid w:val="00F64E60"/>
    <w:rsid w:val="00F64ED6"/>
    <w:rsid w:val="00F65C35"/>
    <w:rsid w:val="00F660BE"/>
    <w:rsid w:val="00F70F87"/>
    <w:rsid w:val="00F72B57"/>
    <w:rsid w:val="00F73BC1"/>
    <w:rsid w:val="00F7673D"/>
    <w:rsid w:val="00F816D6"/>
    <w:rsid w:val="00F85E45"/>
    <w:rsid w:val="00F86453"/>
    <w:rsid w:val="00F86B35"/>
    <w:rsid w:val="00F9080D"/>
    <w:rsid w:val="00F923F3"/>
    <w:rsid w:val="00F93427"/>
    <w:rsid w:val="00FA151D"/>
    <w:rsid w:val="00FA1D41"/>
    <w:rsid w:val="00FA3030"/>
    <w:rsid w:val="00FA682F"/>
    <w:rsid w:val="00FA778B"/>
    <w:rsid w:val="00FA784A"/>
    <w:rsid w:val="00FA7CC7"/>
    <w:rsid w:val="00FB0462"/>
    <w:rsid w:val="00FB3417"/>
    <w:rsid w:val="00FB3662"/>
    <w:rsid w:val="00FB6C08"/>
    <w:rsid w:val="00FC4F6E"/>
    <w:rsid w:val="00FC5C09"/>
    <w:rsid w:val="00FD2D9D"/>
    <w:rsid w:val="00FD3282"/>
    <w:rsid w:val="00FD3D76"/>
    <w:rsid w:val="00FE2A4D"/>
    <w:rsid w:val="00FE2E22"/>
    <w:rsid w:val="00FE38F3"/>
    <w:rsid w:val="00FE3976"/>
    <w:rsid w:val="00FE788F"/>
    <w:rsid w:val="00FF09E4"/>
    <w:rsid w:val="00FF1281"/>
    <w:rsid w:val="00FF612F"/>
    <w:rsid w:val="00FF697F"/>
    <w:rsid w:val="00FF75F3"/>
    <w:rsid w:val="4C5508CD"/>
    <w:rsid w:val="4EB4A6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CFEA"/>
  <w15:chartTrackingRefBased/>
  <w15:docId w15:val="{A5536E07-6D19-46A7-ABE9-63CEF817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6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737F"/>
    <w:pPr>
      <w:ind w:left="720"/>
      <w:contextualSpacing/>
    </w:pPr>
  </w:style>
  <w:style w:type="character" w:styleId="Refdecomentario">
    <w:name w:val="annotation reference"/>
    <w:basedOn w:val="Fuentedeprrafopredeter"/>
    <w:uiPriority w:val="99"/>
    <w:semiHidden/>
    <w:unhideWhenUsed/>
    <w:rsid w:val="00344DFA"/>
    <w:rPr>
      <w:sz w:val="16"/>
      <w:szCs w:val="16"/>
    </w:rPr>
  </w:style>
  <w:style w:type="paragraph" w:styleId="Textocomentario">
    <w:name w:val="annotation text"/>
    <w:basedOn w:val="Normal"/>
    <w:link w:val="TextocomentarioCar"/>
    <w:uiPriority w:val="99"/>
    <w:unhideWhenUsed/>
    <w:rsid w:val="00344DFA"/>
    <w:pPr>
      <w:spacing w:line="240" w:lineRule="auto"/>
    </w:pPr>
    <w:rPr>
      <w:sz w:val="20"/>
      <w:szCs w:val="20"/>
    </w:rPr>
  </w:style>
  <w:style w:type="character" w:customStyle="1" w:styleId="TextocomentarioCar">
    <w:name w:val="Texto comentario Car"/>
    <w:basedOn w:val="Fuentedeprrafopredeter"/>
    <w:link w:val="Textocomentario"/>
    <w:uiPriority w:val="99"/>
    <w:rsid w:val="00344DFA"/>
    <w:rPr>
      <w:sz w:val="20"/>
      <w:szCs w:val="20"/>
    </w:rPr>
  </w:style>
  <w:style w:type="paragraph" w:styleId="Asuntodelcomentario">
    <w:name w:val="annotation subject"/>
    <w:basedOn w:val="Textocomentario"/>
    <w:next w:val="Textocomentario"/>
    <w:link w:val="AsuntodelcomentarioCar"/>
    <w:uiPriority w:val="99"/>
    <w:semiHidden/>
    <w:unhideWhenUsed/>
    <w:rsid w:val="00344DFA"/>
    <w:rPr>
      <w:b/>
      <w:bCs/>
    </w:rPr>
  </w:style>
  <w:style w:type="character" w:customStyle="1" w:styleId="AsuntodelcomentarioCar">
    <w:name w:val="Asunto del comentario Car"/>
    <w:basedOn w:val="TextocomentarioCar"/>
    <w:link w:val="Asuntodelcomentario"/>
    <w:uiPriority w:val="99"/>
    <w:semiHidden/>
    <w:rsid w:val="00344DFA"/>
    <w:rPr>
      <w:b/>
      <w:bCs/>
      <w:sz w:val="20"/>
      <w:szCs w:val="20"/>
    </w:rPr>
  </w:style>
  <w:style w:type="paragraph" w:styleId="Encabezado">
    <w:name w:val="header"/>
    <w:basedOn w:val="Normal"/>
    <w:link w:val="EncabezadoCar"/>
    <w:uiPriority w:val="99"/>
    <w:unhideWhenUsed/>
    <w:rsid w:val="00B71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D01"/>
  </w:style>
  <w:style w:type="paragraph" w:styleId="Piedepgina">
    <w:name w:val="footer"/>
    <w:basedOn w:val="Normal"/>
    <w:link w:val="PiedepginaCar"/>
    <w:uiPriority w:val="99"/>
    <w:unhideWhenUsed/>
    <w:rsid w:val="00B71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69AD3-A3B8-412E-8C6C-0B8F8744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6169</Words>
  <Characters>33935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STERLOFF CHARALAMPIDU YANNI</dc:creator>
  <cp:keywords/>
  <dc:description/>
  <cp:lastModifiedBy>RODRIGUEZ BOVIERI GIANFRANCO</cp:lastModifiedBy>
  <cp:revision>12</cp:revision>
  <dcterms:created xsi:type="dcterms:W3CDTF">2022-12-15T16:41:00Z</dcterms:created>
  <dcterms:modified xsi:type="dcterms:W3CDTF">2022-12-20T20:40:00Z</dcterms:modified>
</cp:coreProperties>
</file>